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54A" w:rsidRPr="00853392" w:rsidRDefault="00B1254A" w:rsidP="00B1254A">
      <w:pPr>
        <w:jc w:val="center"/>
        <w:rPr>
          <w:rFonts w:ascii="Arial" w:hAnsi="Arial" w:cs="Arial"/>
          <w:b/>
          <w:color w:val="2E74B5" w:themeColor="accent1" w:themeShade="BF"/>
          <w:spacing w:val="60"/>
          <w:kern w:val="144"/>
          <w14:textOutline w14:w="9525" w14:cap="rnd" w14:cmpd="sng" w14:algn="ctr">
            <w14:solidFill>
              <w14:schemeClr w14:val="tx1">
                <w14:alpha w14:val="7000"/>
              </w14:schemeClr>
            </w14:solidFill>
            <w14:prstDash w14:val="solid"/>
            <w14:bevel/>
          </w14:textOutline>
        </w:rPr>
      </w:pPr>
      <w:bookmarkStart w:id="0" w:name="_GoBack"/>
      <w:bookmarkEnd w:id="0"/>
      <w:r w:rsidRPr="00853392">
        <w:rPr>
          <w:rFonts w:ascii="Arial" w:hAnsi="Arial" w:cs="Arial"/>
          <w:b/>
          <w:color w:val="2E74B5" w:themeColor="accent1" w:themeShade="BF"/>
          <w:spacing w:val="60"/>
          <w:kern w:val="144"/>
          <w14:textOutline w14:w="9525" w14:cap="rnd" w14:cmpd="sng" w14:algn="ctr">
            <w14:solidFill>
              <w14:schemeClr w14:val="tx1">
                <w14:alpha w14:val="7000"/>
              </w14:schemeClr>
            </w14:solidFill>
            <w14:prstDash w14:val="solid"/>
            <w14:bevel/>
          </w14:textOutline>
        </w:rPr>
        <w:t>GUIDA ALL’IMIS</w:t>
      </w:r>
    </w:p>
    <w:p w:rsidR="00B1254A" w:rsidRPr="00BE5220" w:rsidRDefault="00B1254A" w:rsidP="00B1254A">
      <w:pPr>
        <w:jc w:val="both"/>
        <w:rPr>
          <w:rFonts w:ascii="Arial" w:hAnsi="Arial" w:cs="Arial"/>
          <w:sz w:val="22"/>
          <w:szCs w:val="22"/>
        </w:rPr>
      </w:pPr>
    </w:p>
    <w:p w:rsidR="00B1254A" w:rsidRPr="006E42DA" w:rsidRDefault="00B1254A" w:rsidP="00B1254A">
      <w:pPr>
        <w:jc w:val="both"/>
        <w:rPr>
          <w:rFonts w:ascii="Arial" w:hAnsi="Arial" w:cs="Arial"/>
          <w:sz w:val="20"/>
          <w:szCs w:val="20"/>
        </w:rPr>
      </w:pPr>
      <w:r w:rsidRPr="006E42DA">
        <w:rPr>
          <w:rFonts w:ascii="Arial" w:hAnsi="Arial" w:cs="Arial"/>
          <w:sz w:val="20"/>
          <w:szCs w:val="20"/>
        </w:rPr>
        <w:t xml:space="preserve">A partire dal 2015 è stata istituita l’Imposta immobiliare semplice (IM.I.S.). Questo nuovo tributo si applica solo nei comuni trentini. Sostituisce l’Imposta municipale propria (I.MU.P.) e </w:t>
      </w:r>
      <w:smartTag w:uri="urn:schemas-microsoft-com:office:smarttags" w:element="PersonName">
        <w:smartTagPr>
          <w:attr w:name="ProductID" w:val="la Tassa"/>
        </w:smartTagPr>
        <w:r w:rsidRPr="006E42DA">
          <w:rPr>
            <w:rFonts w:ascii="Arial" w:hAnsi="Arial" w:cs="Arial"/>
            <w:sz w:val="20"/>
            <w:szCs w:val="20"/>
          </w:rPr>
          <w:t>la Tassa</w:t>
        </w:r>
      </w:smartTag>
      <w:r w:rsidRPr="006E42DA">
        <w:rPr>
          <w:rFonts w:ascii="Arial" w:hAnsi="Arial" w:cs="Arial"/>
          <w:sz w:val="20"/>
          <w:szCs w:val="20"/>
        </w:rPr>
        <w:t xml:space="preserve"> per i servizi indivisibili (TA.S.I.) ed è stato introdotto per semplificare gli adempimenti in capo ai contribuenti. Di seguito si forniscono in sintesi le principali “istruzioni per l’uso”.</w:t>
      </w:r>
    </w:p>
    <w:p w:rsidR="00B1254A" w:rsidRPr="006E42DA" w:rsidRDefault="00B1254A" w:rsidP="00B1254A">
      <w:pPr>
        <w:jc w:val="both"/>
        <w:rPr>
          <w:rFonts w:ascii="Arial" w:hAnsi="Arial" w:cs="Arial"/>
          <w:i/>
          <w:sz w:val="20"/>
          <w:szCs w:val="20"/>
        </w:rPr>
      </w:pPr>
    </w:p>
    <w:p w:rsidR="00B1254A" w:rsidRPr="00D461CF" w:rsidRDefault="00B1254A" w:rsidP="00B1254A">
      <w:pPr>
        <w:jc w:val="both"/>
        <w:rPr>
          <w:rFonts w:ascii="Arial" w:hAnsi="Arial" w:cs="Arial"/>
          <w:i/>
          <w:color w:val="2E74B5" w:themeColor="accent1" w:themeShade="BF"/>
          <w:sz w:val="20"/>
          <w:szCs w:val="20"/>
        </w:rPr>
      </w:pPr>
      <w:r w:rsidRPr="00D461CF">
        <w:rPr>
          <w:rFonts w:ascii="Arial" w:hAnsi="Arial" w:cs="Arial"/>
          <w:i/>
          <w:color w:val="2E74B5" w:themeColor="accent1" w:themeShade="BF"/>
          <w:sz w:val="20"/>
          <w:szCs w:val="20"/>
        </w:rPr>
        <w:t>Chi deve pagare?</w:t>
      </w:r>
    </w:p>
    <w:p w:rsidR="00B1254A" w:rsidRPr="006E42DA" w:rsidRDefault="00B1254A" w:rsidP="00B1254A">
      <w:pPr>
        <w:jc w:val="both"/>
        <w:rPr>
          <w:rFonts w:ascii="Arial" w:hAnsi="Arial" w:cs="Arial"/>
          <w:sz w:val="20"/>
          <w:szCs w:val="20"/>
        </w:rPr>
      </w:pPr>
      <w:r w:rsidRPr="006E42DA">
        <w:rPr>
          <w:rFonts w:ascii="Arial" w:hAnsi="Arial" w:cs="Arial"/>
          <w:sz w:val="20"/>
          <w:szCs w:val="20"/>
        </w:rPr>
        <w:t>Il proprietario o il titolare di altro diritto reale (uso, usufrutto, abitazione, superficie ed enfiteusi) sugli immobili di ogni tipo e sulle aree edificabili. Con riferimento a queste ultime devono pagare anche i coltivatori diretti/imprenditori agricoli a titolo principale.</w:t>
      </w:r>
    </w:p>
    <w:p w:rsidR="00B1254A" w:rsidRPr="006E42DA" w:rsidRDefault="00B1254A" w:rsidP="00B1254A">
      <w:pPr>
        <w:jc w:val="both"/>
        <w:rPr>
          <w:rFonts w:ascii="Arial" w:hAnsi="Arial" w:cs="Arial"/>
          <w:sz w:val="20"/>
          <w:szCs w:val="20"/>
        </w:rPr>
      </w:pPr>
      <w:r w:rsidRPr="006E42DA">
        <w:rPr>
          <w:rFonts w:ascii="Arial" w:hAnsi="Arial" w:cs="Arial"/>
          <w:sz w:val="20"/>
          <w:szCs w:val="20"/>
        </w:rPr>
        <w:t>Se più persone sono titolari del medesimo diritto reale sul medesimo immobile ogni contitolare deve pagare l’imposta in proporzione alla propria quota di diritto reale (es. marito e moglie proprietari in parti uguali della casa in cui vivono pagano l’imposta metà per ciascuno).</w:t>
      </w:r>
    </w:p>
    <w:p w:rsidR="00B1254A" w:rsidRPr="006E42DA" w:rsidRDefault="00B1254A" w:rsidP="00B1254A">
      <w:pPr>
        <w:jc w:val="both"/>
        <w:rPr>
          <w:rFonts w:ascii="Arial" w:hAnsi="Arial" w:cs="Arial"/>
          <w:sz w:val="20"/>
          <w:szCs w:val="20"/>
        </w:rPr>
      </w:pPr>
    </w:p>
    <w:p w:rsidR="00B1254A" w:rsidRPr="00853392" w:rsidRDefault="00B1254A" w:rsidP="00B1254A">
      <w:pPr>
        <w:jc w:val="both"/>
        <w:rPr>
          <w:rFonts w:ascii="Arial" w:hAnsi="Arial" w:cs="Arial"/>
          <w:i/>
          <w:color w:val="2E74B5" w:themeColor="accent1" w:themeShade="BF"/>
          <w:sz w:val="20"/>
          <w:szCs w:val="20"/>
          <w14:textOutline w14:w="9525" w14:cap="rnd" w14:cmpd="sng" w14:algn="ctr">
            <w14:solidFill>
              <w14:schemeClr w14:val="tx1"/>
            </w14:solidFill>
            <w14:prstDash w14:val="solid"/>
            <w14:bevel/>
          </w14:textOutline>
        </w:rPr>
      </w:pPr>
      <w:r w:rsidRPr="00D461CF">
        <w:rPr>
          <w:rFonts w:ascii="Arial" w:hAnsi="Arial" w:cs="Arial"/>
          <w:i/>
          <w:color w:val="2E74B5" w:themeColor="accent1" w:themeShade="BF"/>
          <w:sz w:val="20"/>
          <w:szCs w:val="20"/>
        </w:rPr>
        <w:t>Chi non deve pagare per esenzioni/esclusioni?</w:t>
      </w:r>
    </w:p>
    <w:p w:rsidR="00B1254A" w:rsidRPr="006E42DA" w:rsidRDefault="00B1254A" w:rsidP="00B1254A">
      <w:pPr>
        <w:jc w:val="both"/>
        <w:rPr>
          <w:rFonts w:ascii="Arial" w:hAnsi="Arial" w:cs="Arial"/>
          <w:sz w:val="20"/>
          <w:szCs w:val="20"/>
        </w:rPr>
      </w:pPr>
      <w:r w:rsidRPr="006E42DA">
        <w:rPr>
          <w:rFonts w:ascii="Arial" w:hAnsi="Arial" w:cs="Arial"/>
          <w:sz w:val="20"/>
          <w:szCs w:val="20"/>
        </w:rPr>
        <w:t xml:space="preserve">I proprietari o titolari di altro diritto reale sui terreni destinati ad uso agricolo o </w:t>
      </w:r>
      <w:proofErr w:type="spellStart"/>
      <w:r w:rsidRPr="006E42DA">
        <w:rPr>
          <w:rFonts w:ascii="Arial" w:hAnsi="Arial" w:cs="Arial"/>
          <w:sz w:val="20"/>
          <w:szCs w:val="20"/>
        </w:rPr>
        <w:t>silvo</w:t>
      </w:r>
      <w:proofErr w:type="spellEnd"/>
      <w:r w:rsidRPr="006E42DA">
        <w:rPr>
          <w:rFonts w:ascii="Arial" w:hAnsi="Arial" w:cs="Arial"/>
          <w:sz w:val="20"/>
          <w:szCs w:val="20"/>
        </w:rPr>
        <w:t>-pastorale.</w:t>
      </w:r>
    </w:p>
    <w:p w:rsidR="00B1254A" w:rsidRPr="006E42DA" w:rsidRDefault="00B1254A" w:rsidP="00B1254A">
      <w:pPr>
        <w:jc w:val="both"/>
        <w:rPr>
          <w:rFonts w:ascii="Arial" w:hAnsi="Arial" w:cs="Arial"/>
          <w:sz w:val="20"/>
          <w:szCs w:val="20"/>
        </w:rPr>
      </w:pPr>
      <w:r w:rsidRPr="006E42DA">
        <w:rPr>
          <w:rFonts w:ascii="Arial" w:hAnsi="Arial" w:cs="Arial"/>
          <w:sz w:val="20"/>
          <w:szCs w:val="20"/>
        </w:rPr>
        <w:t>I proprietari di fabbricati concessi in comodato alla Provincia, ai Comuni e ad altri enti pubblici per l’esercizio di funzioni, servizi o attività pubbliche.</w:t>
      </w:r>
    </w:p>
    <w:p w:rsidR="00B1254A" w:rsidRPr="006E42DA" w:rsidRDefault="00B1254A" w:rsidP="00B1254A">
      <w:pPr>
        <w:jc w:val="both"/>
        <w:rPr>
          <w:rFonts w:ascii="Arial" w:hAnsi="Arial" w:cs="Arial"/>
          <w:sz w:val="20"/>
          <w:szCs w:val="20"/>
        </w:rPr>
      </w:pPr>
      <w:r w:rsidRPr="006E42DA">
        <w:rPr>
          <w:rFonts w:ascii="Arial" w:hAnsi="Arial" w:cs="Arial"/>
          <w:sz w:val="20"/>
          <w:szCs w:val="20"/>
        </w:rPr>
        <w:t>Non è dovuto il pagamento dell’imposta per importi inferiori ai 20 euro.</w:t>
      </w:r>
    </w:p>
    <w:p w:rsidR="00B1254A" w:rsidRPr="006E42DA" w:rsidRDefault="00B1254A" w:rsidP="00B1254A">
      <w:pPr>
        <w:jc w:val="both"/>
        <w:rPr>
          <w:rFonts w:ascii="Arial" w:hAnsi="Arial" w:cs="Arial"/>
          <w:i/>
          <w:sz w:val="20"/>
          <w:szCs w:val="20"/>
        </w:rPr>
      </w:pPr>
    </w:p>
    <w:p w:rsidR="00B1254A" w:rsidRPr="00D461CF" w:rsidRDefault="00B1254A" w:rsidP="00B1254A">
      <w:pPr>
        <w:jc w:val="both"/>
        <w:rPr>
          <w:rFonts w:ascii="Arial" w:hAnsi="Arial" w:cs="Arial"/>
          <w:i/>
          <w:color w:val="2E74B5" w:themeColor="accent1" w:themeShade="BF"/>
          <w:sz w:val="20"/>
          <w:szCs w:val="20"/>
        </w:rPr>
      </w:pPr>
      <w:r w:rsidRPr="00D461CF">
        <w:rPr>
          <w:rFonts w:ascii="Arial" w:hAnsi="Arial" w:cs="Arial"/>
          <w:i/>
          <w:color w:val="2E74B5" w:themeColor="accent1" w:themeShade="BF"/>
          <w:sz w:val="20"/>
          <w:szCs w:val="20"/>
        </w:rPr>
        <w:t>Quando si paga?</w:t>
      </w:r>
    </w:p>
    <w:p w:rsidR="00B1254A" w:rsidRPr="006E42DA" w:rsidRDefault="00B1254A" w:rsidP="00B1254A">
      <w:pPr>
        <w:jc w:val="both"/>
        <w:rPr>
          <w:rFonts w:ascii="Arial" w:hAnsi="Arial" w:cs="Arial"/>
          <w:color w:val="0000FF"/>
          <w:sz w:val="20"/>
          <w:szCs w:val="20"/>
        </w:rPr>
      </w:pPr>
      <w:r w:rsidRPr="006E42DA">
        <w:rPr>
          <w:rFonts w:ascii="Arial" w:hAnsi="Arial" w:cs="Arial"/>
          <w:sz w:val="20"/>
          <w:szCs w:val="20"/>
        </w:rPr>
        <w:t>Il versamento dell’imposta è dovuto in due rate: la prima rata scade il 16 giugno e la seconda il 16 dicembre.</w:t>
      </w:r>
    </w:p>
    <w:p w:rsidR="00B1254A" w:rsidRPr="006E42DA" w:rsidRDefault="00B1254A" w:rsidP="00B1254A">
      <w:pPr>
        <w:jc w:val="both"/>
        <w:rPr>
          <w:rFonts w:ascii="Arial" w:hAnsi="Arial" w:cs="Arial"/>
          <w:i/>
          <w:sz w:val="20"/>
          <w:szCs w:val="20"/>
        </w:rPr>
      </w:pPr>
    </w:p>
    <w:p w:rsidR="00B1254A" w:rsidRPr="00D461CF" w:rsidRDefault="00B1254A" w:rsidP="00B1254A">
      <w:pPr>
        <w:jc w:val="both"/>
        <w:rPr>
          <w:rFonts w:ascii="Arial" w:hAnsi="Arial" w:cs="Arial"/>
          <w:i/>
          <w:color w:val="2E74B5" w:themeColor="accent1" w:themeShade="BF"/>
          <w:sz w:val="20"/>
          <w:szCs w:val="20"/>
        </w:rPr>
      </w:pPr>
      <w:r w:rsidRPr="00D461CF">
        <w:rPr>
          <w:rFonts w:ascii="Arial" w:hAnsi="Arial" w:cs="Arial"/>
          <w:i/>
          <w:color w:val="2E74B5" w:themeColor="accent1" w:themeShade="BF"/>
          <w:sz w:val="20"/>
          <w:szCs w:val="20"/>
        </w:rPr>
        <w:t>Come si paga?</w:t>
      </w:r>
    </w:p>
    <w:p w:rsidR="00B1254A" w:rsidRDefault="00B1254A" w:rsidP="00B1254A">
      <w:pPr>
        <w:jc w:val="both"/>
        <w:rPr>
          <w:rFonts w:ascii="Arial" w:hAnsi="Arial" w:cs="Arial"/>
          <w:sz w:val="20"/>
          <w:szCs w:val="20"/>
        </w:rPr>
      </w:pPr>
      <w:r w:rsidRPr="006E42DA">
        <w:rPr>
          <w:rFonts w:ascii="Arial" w:hAnsi="Arial" w:cs="Arial"/>
          <w:sz w:val="20"/>
          <w:szCs w:val="20"/>
        </w:rPr>
        <w:t xml:space="preserve">L’imposta può essere pagata utilizzando il modello F24 (allegato precompilato alla presente). Il modello va consegnato a qualsiasi banca o ufficio postale. Si ricorda che è anche possibile pagare mediante bancomat presso gli uffici del comune oppure mediante bonifico bancario alla tesoreria del Comune.  Il codice ISTAT del Comune </w:t>
      </w:r>
      <w:proofErr w:type="gramStart"/>
      <w:r w:rsidRPr="006E42DA">
        <w:rPr>
          <w:rFonts w:ascii="Arial" w:hAnsi="Arial" w:cs="Arial"/>
          <w:sz w:val="20"/>
          <w:szCs w:val="20"/>
        </w:rPr>
        <w:t>è  C</w:t>
      </w:r>
      <w:proofErr w:type="gramEnd"/>
      <w:r w:rsidRPr="006E42DA">
        <w:rPr>
          <w:rFonts w:ascii="Arial" w:hAnsi="Arial" w:cs="Arial"/>
          <w:sz w:val="20"/>
          <w:szCs w:val="20"/>
        </w:rPr>
        <w:t>194; i codici tributo sono</w:t>
      </w:r>
      <w:r w:rsidR="00D461CF">
        <w:rPr>
          <w:rFonts w:ascii="Arial" w:hAnsi="Arial" w:cs="Arial"/>
          <w:sz w:val="20"/>
          <w:szCs w:val="20"/>
        </w:rPr>
        <w:t>:</w:t>
      </w:r>
    </w:p>
    <w:p w:rsidR="00D461CF" w:rsidRDefault="00D461CF" w:rsidP="00B1254A">
      <w:pPr>
        <w:jc w:val="both"/>
        <w:rPr>
          <w:rFonts w:ascii="Arial" w:hAnsi="Arial" w:cs="Arial"/>
          <w:sz w:val="20"/>
          <w:szCs w:val="20"/>
        </w:rPr>
      </w:pPr>
      <w:r>
        <w:rPr>
          <w:rFonts w:ascii="Arial" w:hAnsi="Arial" w:cs="Arial"/>
          <w:sz w:val="20"/>
          <w:szCs w:val="20"/>
        </w:rPr>
        <w:t>3990 denominato IMIS – Imposta immobiliare semplice su abitazione principale, fattispecie assimilate e pertinenze –</w:t>
      </w:r>
    </w:p>
    <w:p w:rsidR="00D461CF" w:rsidRDefault="00D461CF" w:rsidP="00B1254A">
      <w:pPr>
        <w:jc w:val="both"/>
        <w:rPr>
          <w:rFonts w:ascii="Arial" w:hAnsi="Arial" w:cs="Arial"/>
          <w:sz w:val="20"/>
          <w:szCs w:val="20"/>
        </w:rPr>
      </w:pPr>
      <w:r>
        <w:rPr>
          <w:rFonts w:ascii="Arial" w:hAnsi="Arial" w:cs="Arial"/>
          <w:sz w:val="20"/>
          <w:szCs w:val="20"/>
        </w:rPr>
        <w:t>3991 denominato IMIS – Imposta immobiliare semplice per altri fabbricati abitativi –</w:t>
      </w:r>
    </w:p>
    <w:p w:rsidR="00D461CF" w:rsidRDefault="00D461CF" w:rsidP="00B1254A">
      <w:pPr>
        <w:jc w:val="both"/>
        <w:rPr>
          <w:rFonts w:ascii="Arial" w:hAnsi="Arial" w:cs="Arial"/>
          <w:sz w:val="20"/>
          <w:szCs w:val="20"/>
        </w:rPr>
      </w:pPr>
      <w:r>
        <w:rPr>
          <w:rFonts w:ascii="Arial" w:hAnsi="Arial" w:cs="Arial"/>
          <w:sz w:val="20"/>
          <w:szCs w:val="20"/>
        </w:rPr>
        <w:t>3992 denominato IMIS – Imposta immobiliare semplice per altri fabbricati –</w:t>
      </w:r>
    </w:p>
    <w:p w:rsidR="00D461CF" w:rsidRDefault="00D461CF" w:rsidP="00B1254A">
      <w:pPr>
        <w:jc w:val="both"/>
        <w:rPr>
          <w:rFonts w:ascii="Arial" w:hAnsi="Arial" w:cs="Arial"/>
          <w:sz w:val="20"/>
          <w:szCs w:val="20"/>
        </w:rPr>
      </w:pPr>
      <w:r>
        <w:rPr>
          <w:rFonts w:ascii="Arial" w:hAnsi="Arial" w:cs="Arial"/>
          <w:sz w:val="20"/>
          <w:szCs w:val="20"/>
        </w:rPr>
        <w:t>3993 denominato IMIS – Imposta immobiliare semplice per aree edificabili –</w:t>
      </w:r>
    </w:p>
    <w:p w:rsidR="00D461CF" w:rsidRDefault="00D461CF" w:rsidP="00B1254A">
      <w:pPr>
        <w:jc w:val="both"/>
        <w:rPr>
          <w:rFonts w:ascii="Arial" w:hAnsi="Arial" w:cs="Arial"/>
          <w:sz w:val="20"/>
          <w:szCs w:val="20"/>
        </w:rPr>
      </w:pPr>
      <w:r>
        <w:rPr>
          <w:rFonts w:ascii="Arial" w:hAnsi="Arial" w:cs="Arial"/>
          <w:sz w:val="20"/>
          <w:szCs w:val="20"/>
        </w:rPr>
        <w:t>3994 denominato IMIS – Imposta immobiliare semplice per sanzioni da accertamento –</w:t>
      </w:r>
    </w:p>
    <w:p w:rsidR="00D461CF" w:rsidRDefault="00853392" w:rsidP="00B1254A">
      <w:pPr>
        <w:jc w:val="both"/>
        <w:rPr>
          <w:rFonts w:ascii="Arial" w:hAnsi="Arial" w:cs="Arial"/>
          <w:sz w:val="20"/>
          <w:szCs w:val="20"/>
        </w:rPr>
      </w:pPr>
      <w:r>
        <w:rPr>
          <w:rFonts w:ascii="Arial" w:hAnsi="Arial" w:cs="Arial"/>
          <w:sz w:val="20"/>
          <w:szCs w:val="20"/>
        </w:rPr>
        <w:t>3995 denominato IMIS – Imposta immobiliare semplice per interessi da accertamento –</w:t>
      </w:r>
    </w:p>
    <w:p w:rsidR="00853392" w:rsidRPr="006E42DA" w:rsidRDefault="00853392" w:rsidP="00B1254A">
      <w:pPr>
        <w:jc w:val="both"/>
        <w:rPr>
          <w:rFonts w:ascii="Arial" w:hAnsi="Arial" w:cs="Arial"/>
          <w:sz w:val="20"/>
          <w:szCs w:val="20"/>
        </w:rPr>
      </w:pPr>
      <w:r>
        <w:rPr>
          <w:rFonts w:ascii="Arial" w:hAnsi="Arial" w:cs="Arial"/>
          <w:sz w:val="20"/>
          <w:szCs w:val="20"/>
        </w:rPr>
        <w:t>3996 denominato IMIS – Imposta immobiliare semplice per sanzioni ed interessi da ravvedimento operoso -</w:t>
      </w:r>
    </w:p>
    <w:p w:rsidR="00B1254A" w:rsidRPr="006E42DA" w:rsidRDefault="00B1254A" w:rsidP="00B1254A">
      <w:pPr>
        <w:jc w:val="both"/>
        <w:rPr>
          <w:rFonts w:ascii="Arial" w:hAnsi="Arial" w:cs="Arial"/>
          <w:i/>
          <w:sz w:val="20"/>
          <w:szCs w:val="20"/>
        </w:rPr>
      </w:pPr>
    </w:p>
    <w:p w:rsidR="00B1254A" w:rsidRPr="00D461CF" w:rsidRDefault="00B1254A" w:rsidP="00B1254A">
      <w:pPr>
        <w:jc w:val="both"/>
        <w:rPr>
          <w:rFonts w:ascii="Arial" w:hAnsi="Arial" w:cs="Arial"/>
          <w:i/>
          <w:color w:val="2E74B5" w:themeColor="accent1" w:themeShade="BF"/>
          <w:sz w:val="20"/>
          <w:szCs w:val="20"/>
        </w:rPr>
      </w:pPr>
      <w:r w:rsidRPr="00D461CF">
        <w:rPr>
          <w:rFonts w:ascii="Arial" w:hAnsi="Arial" w:cs="Arial"/>
          <w:i/>
          <w:color w:val="2E74B5" w:themeColor="accent1" w:themeShade="BF"/>
          <w:sz w:val="20"/>
          <w:szCs w:val="20"/>
        </w:rPr>
        <w:t>Come si calcola?</w:t>
      </w:r>
    </w:p>
    <w:p w:rsidR="00B1254A" w:rsidRPr="006E42DA" w:rsidRDefault="00B1254A" w:rsidP="00B1254A">
      <w:pPr>
        <w:jc w:val="both"/>
        <w:rPr>
          <w:rFonts w:ascii="Arial" w:hAnsi="Arial" w:cs="Arial"/>
          <w:sz w:val="20"/>
          <w:szCs w:val="20"/>
          <w:u w:val="single"/>
        </w:rPr>
      </w:pPr>
      <w:r w:rsidRPr="006E42DA">
        <w:rPr>
          <w:rFonts w:ascii="Arial" w:hAnsi="Arial" w:cs="Arial"/>
          <w:sz w:val="20"/>
          <w:szCs w:val="20"/>
          <w:u w:val="single"/>
        </w:rPr>
        <w:t>Per i fabbricati in generale</w:t>
      </w:r>
    </w:p>
    <w:p w:rsidR="00B1254A" w:rsidRPr="006E42DA" w:rsidRDefault="00B1254A" w:rsidP="00B1254A">
      <w:pPr>
        <w:jc w:val="both"/>
        <w:rPr>
          <w:rFonts w:ascii="Arial" w:hAnsi="Arial" w:cs="Arial"/>
          <w:sz w:val="20"/>
          <w:szCs w:val="20"/>
        </w:rPr>
      </w:pPr>
      <w:r w:rsidRPr="006E42DA">
        <w:rPr>
          <w:rFonts w:ascii="Arial" w:hAnsi="Arial" w:cs="Arial"/>
          <w:sz w:val="20"/>
          <w:szCs w:val="20"/>
        </w:rPr>
        <w:t xml:space="preserve">il calcolo dell’imposta corrisponde al prodotto </w:t>
      </w:r>
      <w:r w:rsidRPr="006E42DA">
        <w:rPr>
          <w:rFonts w:ascii="Arial" w:hAnsi="Arial" w:cs="Arial"/>
          <w:i/>
          <w:sz w:val="20"/>
          <w:szCs w:val="20"/>
        </w:rPr>
        <w:t>aliquota X valore catastale.</w:t>
      </w:r>
      <w:r w:rsidRPr="006E42DA">
        <w:rPr>
          <w:rFonts w:ascii="Arial" w:hAnsi="Arial" w:cs="Arial"/>
          <w:sz w:val="20"/>
          <w:szCs w:val="20"/>
        </w:rPr>
        <w:t xml:space="preserve"> L’aliquota è scelta dal comune (si veda la seguente tabella). Il valore catastale corrisponde al prodotto </w:t>
      </w:r>
      <w:r w:rsidRPr="006E42DA">
        <w:rPr>
          <w:rFonts w:ascii="Arial" w:hAnsi="Arial" w:cs="Arial"/>
          <w:i/>
          <w:sz w:val="20"/>
          <w:szCs w:val="20"/>
        </w:rPr>
        <w:t>rendita catastale X coefficiente moltiplicatore</w:t>
      </w:r>
      <w:r w:rsidRPr="006E42DA">
        <w:rPr>
          <w:rFonts w:ascii="Arial" w:hAnsi="Arial" w:cs="Arial"/>
          <w:sz w:val="20"/>
          <w:szCs w:val="20"/>
        </w:rPr>
        <w:t xml:space="preserve"> </w:t>
      </w:r>
      <w:r w:rsidRPr="006E42DA">
        <w:rPr>
          <w:rFonts w:ascii="Arial" w:hAnsi="Arial" w:cs="Arial"/>
          <w:i/>
          <w:sz w:val="20"/>
          <w:szCs w:val="20"/>
        </w:rPr>
        <w:t>fissato in legge</w:t>
      </w:r>
      <w:r w:rsidRPr="006E42DA">
        <w:rPr>
          <w:rFonts w:ascii="Arial" w:hAnsi="Arial" w:cs="Arial"/>
          <w:sz w:val="20"/>
          <w:szCs w:val="20"/>
        </w:rPr>
        <w:t xml:space="preserve">. Il valore catastale ai fini IMIS è indicato negli estratti catastali. </w:t>
      </w:r>
    </w:p>
    <w:p w:rsidR="00B1254A" w:rsidRPr="00BE5220" w:rsidRDefault="00B1254A" w:rsidP="00B1254A">
      <w:pPr>
        <w:jc w:val="both"/>
        <w:rPr>
          <w:rFonts w:ascii="Arial" w:hAnsi="Arial" w:cs="Arial"/>
          <w:sz w:val="22"/>
          <w:szCs w:val="22"/>
        </w:rPr>
      </w:pPr>
    </w:p>
    <w:p w:rsidR="00B1254A" w:rsidRPr="00BE5220" w:rsidRDefault="00B1254A" w:rsidP="00B1254A">
      <w:pPr>
        <w:jc w:val="both"/>
        <w:rPr>
          <w:rFonts w:ascii="Arial" w:hAnsi="Arial" w:cs="Arial"/>
          <w:b/>
          <w:sz w:val="22"/>
          <w:szCs w:val="22"/>
        </w:rPr>
      </w:pPr>
      <w:r w:rsidRPr="00BE5220">
        <w:rPr>
          <w:rFonts w:ascii="Arial" w:hAnsi="Arial" w:cs="Arial"/>
          <w:b/>
          <w:sz w:val="22"/>
          <w:szCs w:val="22"/>
        </w:rPr>
        <w:t>Tabella delle aliquote a valere per il 2015</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417"/>
      </w:tblGrid>
      <w:tr w:rsidR="00B1254A" w:rsidRPr="00BE5220" w:rsidTr="006E42DA">
        <w:tc>
          <w:tcPr>
            <w:tcW w:w="8926" w:type="dxa"/>
            <w:shd w:val="clear" w:color="auto" w:fill="auto"/>
          </w:tcPr>
          <w:p w:rsidR="00B1254A" w:rsidRPr="00BE5220" w:rsidRDefault="00B1254A" w:rsidP="00F13F1B">
            <w:pPr>
              <w:jc w:val="center"/>
              <w:rPr>
                <w:rFonts w:ascii="Arial" w:hAnsi="Arial" w:cs="Arial"/>
                <w:sz w:val="22"/>
                <w:szCs w:val="22"/>
              </w:rPr>
            </w:pPr>
            <w:r w:rsidRPr="00BE5220">
              <w:rPr>
                <w:rFonts w:ascii="Arial" w:hAnsi="Arial" w:cs="Arial"/>
                <w:sz w:val="22"/>
                <w:szCs w:val="22"/>
              </w:rPr>
              <w:t>TIPOLOGIA DI IMMOBILE</w:t>
            </w:r>
          </w:p>
        </w:tc>
        <w:tc>
          <w:tcPr>
            <w:tcW w:w="1417" w:type="dxa"/>
            <w:shd w:val="clear" w:color="auto" w:fill="auto"/>
          </w:tcPr>
          <w:p w:rsidR="00B1254A" w:rsidRPr="00BE5220" w:rsidRDefault="00B1254A" w:rsidP="00F13F1B">
            <w:pPr>
              <w:jc w:val="center"/>
              <w:rPr>
                <w:rFonts w:ascii="Arial" w:hAnsi="Arial" w:cs="Arial"/>
                <w:sz w:val="22"/>
                <w:szCs w:val="22"/>
              </w:rPr>
            </w:pPr>
            <w:r w:rsidRPr="00BE5220">
              <w:rPr>
                <w:rFonts w:ascii="Arial" w:hAnsi="Arial" w:cs="Arial"/>
                <w:sz w:val="22"/>
                <w:szCs w:val="22"/>
              </w:rPr>
              <w:t>ALIQUOTA</w:t>
            </w:r>
          </w:p>
        </w:tc>
      </w:tr>
      <w:tr w:rsidR="00B1254A" w:rsidRPr="00BE5220" w:rsidTr="006E42DA">
        <w:tc>
          <w:tcPr>
            <w:tcW w:w="8926" w:type="dxa"/>
            <w:shd w:val="clear" w:color="auto" w:fill="auto"/>
          </w:tcPr>
          <w:p w:rsidR="00B1254A" w:rsidRPr="00BE5220" w:rsidRDefault="00B1254A" w:rsidP="00F13F1B">
            <w:pPr>
              <w:jc w:val="both"/>
              <w:rPr>
                <w:rFonts w:ascii="Arial" w:hAnsi="Arial" w:cs="Arial"/>
                <w:color w:val="0000FF"/>
                <w:sz w:val="22"/>
                <w:szCs w:val="22"/>
              </w:rPr>
            </w:pPr>
            <w:r w:rsidRPr="00BE5220">
              <w:rPr>
                <w:rFonts w:ascii="Arial" w:hAnsi="Arial" w:cs="Arial"/>
                <w:color w:val="0000FF"/>
                <w:sz w:val="22"/>
                <w:szCs w:val="22"/>
              </w:rPr>
              <w:t xml:space="preserve">Abitazione principale </w:t>
            </w:r>
          </w:p>
        </w:tc>
        <w:tc>
          <w:tcPr>
            <w:tcW w:w="1417" w:type="dxa"/>
            <w:shd w:val="clear" w:color="auto" w:fill="auto"/>
          </w:tcPr>
          <w:p w:rsidR="00B1254A" w:rsidRPr="00BE5220" w:rsidRDefault="00B1254A" w:rsidP="00780141">
            <w:pPr>
              <w:jc w:val="both"/>
              <w:rPr>
                <w:rFonts w:ascii="Arial" w:hAnsi="Arial" w:cs="Arial"/>
                <w:color w:val="0000FF"/>
                <w:sz w:val="22"/>
                <w:szCs w:val="22"/>
              </w:rPr>
            </w:pPr>
            <w:r w:rsidRPr="00BE5220">
              <w:rPr>
                <w:rFonts w:ascii="Arial" w:hAnsi="Arial" w:cs="Arial"/>
                <w:color w:val="0000FF"/>
                <w:sz w:val="22"/>
                <w:szCs w:val="22"/>
              </w:rPr>
              <w:t>0,</w:t>
            </w:r>
            <w:r w:rsidR="00780141" w:rsidRPr="00BE5220">
              <w:rPr>
                <w:rFonts w:ascii="Arial" w:hAnsi="Arial" w:cs="Arial"/>
                <w:color w:val="0000FF"/>
                <w:sz w:val="22"/>
                <w:szCs w:val="22"/>
              </w:rPr>
              <w:t>0</w:t>
            </w:r>
            <w:r w:rsidRPr="00BE5220">
              <w:rPr>
                <w:rFonts w:ascii="Arial" w:hAnsi="Arial" w:cs="Arial"/>
                <w:color w:val="0000FF"/>
                <w:sz w:val="22"/>
                <w:szCs w:val="22"/>
              </w:rPr>
              <w:t>%</w:t>
            </w:r>
          </w:p>
        </w:tc>
      </w:tr>
      <w:tr w:rsidR="00B1254A" w:rsidRPr="00BE5220" w:rsidTr="006E42DA">
        <w:tc>
          <w:tcPr>
            <w:tcW w:w="8926" w:type="dxa"/>
            <w:shd w:val="clear" w:color="auto" w:fill="auto"/>
          </w:tcPr>
          <w:p w:rsidR="00B1254A" w:rsidRPr="00BE5220" w:rsidRDefault="00B1254A" w:rsidP="00F13F1B">
            <w:pPr>
              <w:jc w:val="both"/>
              <w:rPr>
                <w:rFonts w:ascii="Arial" w:hAnsi="Arial" w:cs="Arial"/>
                <w:color w:val="0000FF"/>
                <w:sz w:val="22"/>
                <w:szCs w:val="22"/>
              </w:rPr>
            </w:pPr>
            <w:r w:rsidRPr="00BE5220">
              <w:rPr>
                <w:rFonts w:ascii="Arial" w:hAnsi="Arial" w:cs="Arial"/>
                <w:color w:val="0000FF"/>
                <w:sz w:val="22"/>
                <w:szCs w:val="22"/>
              </w:rPr>
              <w:t>Altri fabbricati ad uso abitativo</w:t>
            </w:r>
          </w:p>
        </w:tc>
        <w:tc>
          <w:tcPr>
            <w:tcW w:w="1417" w:type="dxa"/>
            <w:shd w:val="clear" w:color="auto" w:fill="auto"/>
          </w:tcPr>
          <w:p w:rsidR="00B1254A" w:rsidRPr="00BE5220" w:rsidRDefault="00B1254A" w:rsidP="00780141">
            <w:pPr>
              <w:jc w:val="both"/>
              <w:rPr>
                <w:rFonts w:ascii="Arial" w:hAnsi="Arial" w:cs="Arial"/>
                <w:color w:val="0000FF"/>
                <w:sz w:val="22"/>
                <w:szCs w:val="22"/>
              </w:rPr>
            </w:pPr>
            <w:r w:rsidRPr="00BE5220">
              <w:rPr>
                <w:rFonts w:ascii="Arial" w:hAnsi="Arial" w:cs="Arial"/>
                <w:color w:val="0000FF"/>
                <w:sz w:val="22"/>
                <w:szCs w:val="22"/>
              </w:rPr>
              <w:t>0,8</w:t>
            </w:r>
            <w:r w:rsidR="00780141" w:rsidRPr="00BE5220">
              <w:rPr>
                <w:rFonts w:ascii="Arial" w:hAnsi="Arial" w:cs="Arial"/>
                <w:color w:val="0000FF"/>
                <w:sz w:val="22"/>
                <w:szCs w:val="22"/>
              </w:rPr>
              <w:t>7</w:t>
            </w:r>
            <w:r w:rsidRPr="00BE5220">
              <w:rPr>
                <w:rFonts w:ascii="Arial" w:hAnsi="Arial" w:cs="Arial"/>
                <w:color w:val="0000FF"/>
                <w:sz w:val="22"/>
                <w:szCs w:val="22"/>
              </w:rPr>
              <w:t>%</w:t>
            </w:r>
          </w:p>
        </w:tc>
      </w:tr>
      <w:tr w:rsidR="00B1254A" w:rsidRPr="00BE5220" w:rsidTr="006E42DA">
        <w:tc>
          <w:tcPr>
            <w:tcW w:w="8926" w:type="dxa"/>
            <w:shd w:val="clear" w:color="auto" w:fill="auto"/>
          </w:tcPr>
          <w:p w:rsidR="00B1254A" w:rsidRPr="00BE5220" w:rsidRDefault="00B1254A" w:rsidP="00F13F1B">
            <w:pPr>
              <w:jc w:val="both"/>
              <w:rPr>
                <w:rFonts w:ascii="Arial" w:hAnsi="Arial" w:cs="Arial"/>
                <w:color w:val="0000FF"/>
                <w:sz w:val="22"/>
                <w:szCs w:val="22"/>
              </w:rPr>
            </w:pPr>
            <w:r w:rsidRPr="00BE5220">
              <w:rPr>
                <w:rFonts w:ascii="Arial" w:hAnsi="Arial" w:cs="Arial"/>
                <w:color w:val="0000FF"/>
                <w:sz w:val="22"/>
                <w:szCs w:val="22"/>
              </w:rPr>
              <w:t>Fabbricati ad uso non abitativo</w:t>
            </w:r>
          </w:p>
        </w:tc>
        <w:tc>
          <w:tcPr>
            <w:tcW w:w="1417" w:type="dxa"/>
            <w:shd w:val="clear" w:color="auto" w:fill="auto"/>
          </w:tcPr>
          <w:p w:rsidR="00B1254A" w:rsidRPr="00BE5220" w:rsidRDefault="00B1254A" w:rsidP="00F13F1B">
            <w:pPr>
              <w:jc w:val="both"/>
              <w:rPr>
                <w:rFonts w:ascii="Arial" w:hAnsi="Arial" w:cs="Arial"/>
                <w:color w:val="0000FF"/>
                <w:sz w:val="22"/>
                <w:szCs w:val="22"/>
              </w:rPr>
            </w:pPr>
            <w:r w:rsidRPr="00BE5220">
              <w:rPr>
                <w:rFonts w:ascii="Arial" w:hAnsi="Arial" w:cs="Arial"/>
                <w:color w:val="0000FF"/>
                <w:sz w:val="22"/>
                <w:szCs w:val="22"/>
              </w:rPr>
              <w:t>0,79%</w:t>
            </w:r>
          </w:p>
        </w:tc>
      </w:tr>
      <w:tr w:rsidR="00B1254A" w:rsidRPr="00BE5220" w:rsidTr="006E42DA">
        <w:tc>
          <w:tcPr>
            <w:tcW w:w="8926" w:type="dxa"/>
            <w:shd w:val="clear" w:color="auto" w:fill="auto"/>
          </w:tcPr>
          <w:p w:rsidR="00B1254A" w:rsidRPr="00BE5220" w:rsidRDefault="00B1254A" w:rsidP="00F13F1B">
            <w:pPr>
              <w:jc w:val="both"/>
              <w:rPr>
                <w:rFonts w:ascii="Arial" w:hAnsi="Arial" w:cs="Arial"/>
                <w:color w:val="0000FF"/>
                <w:sz w:val="22"/>
                <w:szCs w:val="22"/>
              </w:rPr>
            </w:pPr>
            <w:r w:rsidRPr="00BE5220">
              <w:rPr>
                <w:rFonts w:ascii="Arial" w:hAnsi="Arial" w:cs="Arial"/>
                <w:color w:val="0000FF"/>
                <w:sz w:val="22"/>
                <w:szCs w:val="22"/>
              </w:rPr>
              <w:t>Fabbricati strumentali all’attività agricola</w:t>
            </w:r>
          </w:p>
        </w:tc>
        <w:tc>
          <w:tcPr>
            <w:tcW w:w="1417" w:type="dxa"/>
            <w:shd w:val="clear" w:color="auto" w:fill="auto"/>
          </w:tcPr>
          <w:p w:rsidR="00B1254A" w:rsidRPr="00BE5220" w:rsidRDefault="00B1254A" w:rsidP="00F13F1B">
            <w:pPr>
              <w:jc w:val="both"/>
              <w:rPr>
                <w:rFonts w:ascii="Arial" w:hAnsi="Arial" w:cs="Arial"/>
                <w:color w:val="0000FF"/>
                <w:sz w:val="22"/>
                <w:szCs w:val="22"/>
              </w:rPr>
            </w:pPr>
            <w:r w:rsidRPr="00BE5220">
              <w:rPr>
                <w:rFonts w:ascii="Arial" w:hAnsi="Arial" w:cs="Arial"/>
                <w:color w:val="0000FF"/>
                <w:sz w:val="22"/>
                <w:szCs w:val="22"/>
              </w:rPr>
              <w:t>0,1%</w:t>
            </w:r>
          </w:p>
        </w:tc>
      </w:tr>
      <w:tr w:rsidR="00B1254A" w:rsidRPr="00BE5220" w:rsidTr="006E42DA">
        <w:tc>
          <w:tcPr>
            <w:tcW w:w="8926" w:type="dxa"/>
            <w:shd w:val="clear" w:color="auto" w:fill="auto"/>
          </w:tcPr>
          <w:p w:rsidR="00B1254A" w:rsidRPr="00BE5220" w:rsidRDefault="00B1254A" w:rsidP="00F13F1B">
            <w:pPr>
              <w:jc w:val="both"/>
              <w:rPr>
                <w:rFonts w:ascii="Arial" w:hAnsi="Arial" w:cs="Arial"/>
                <w:color w:val="0000FF"/>
                <w:sz w:val="22"/>
                <w:szCs w:val="22"/>
              </w:rPr>
            </w:pPr>
            <w:r w:rsidRPr="00BE5220">
              <w:rPr>
                <w:rFonts w:ascii="Arial" w:hAnsi="Arial" w:cs="Arial"/>
                <w:color w:val="0000FF"/>
                <w:sz w:val="22"/>
                <w:szCs w:val="22"/>
              </w:rPr>
              <w:t>Aree edificabili e altri immobili non compresi nelle categorie precedenti</w:t>
            </w:r>
            <w:r w:rsidR="00780141" w:rsidRPr="00BE5220">
              <w:rPr>
                <w:rFonts w:ascii="Arial" w:hAnsi="Arial" w:cs="Arial"/>
                <w:color w:val="0000FF"/>
                <w:sz w:val="22"/>
                <w:szCs w:val="22"/>
              </w:rPr>
              <w:t xml:space="preserve"> (A10 – B – D5)</w:t>
            </w:r>
          </w:p>
        </w:tc>
        <w:tc>
          <w:tcPr>
            <w:tcW w:w="1417" w:type="dxa"/>
            <w:shd w:val="clear" w:color="auto" w:fill="auto"/>
          </w:tcPr>
          <w:p w:rsidR="00B1254A" w:rsidRPr="00BE5220" w:rsidRDefault="00B1254A" w:rsidP="00F13F1B">
            <w:pPr>
              <w:jc w:val="both"/>
              <w:rPr>
                <w:rFonts w:ascii="Arial" w:hAnsi="Arial" w:cs="Arial"/>
                <w:color w:val="0000FF"/>
                <w:sz w:val="22"/>
                <w:szCs w:val="22"/>
              </w:rPr>
            </w:pPr>
            <w:r w:rsidRPr="00BE5220">
              <w:rPr>
                <w:rFonts w:ascii="Arial" w:hAnsi="Arial" w:cs="Arial"/>
                <w:color w:val="0000FF"/>
                <w:sz w:val="22"/>
                <w:szCs w:val="22"/>
              </w:rPr>
              <w:t>0,895%</w:t>
            </w:r>
          </w:p>
        </w:tc>
      </w:tr>
    </w:tbl>
    <w:p w:rsidR="00B1254A" w:rsidRPr="00BE5220" w:rsidRDefault="00B1254A" w:rsidP="00B1254A">
      <w:pPr>
        <w:jc w:val="both"/>
        <w:rPr>
          <w:rFonts w:ascii="Arial" w:hAnsi="Arial" w:cs="Arial"/>
          <w:sz w:val="22"/>
          <w:szCs w:val="22"/>
          <w:u w:val="single"/>
        </w:rPr>
      </w:pPr>
    </w:p>
    <w:p w:rsidR="00B1254A" w:rsidRPr="006E42DA" w:rsidRDefault="00B1254A" w:rsidP="00B1254A">
      <w:pPr>
        <w:jc w:val="both"/>
        <w:rPr>
          <w:rFonts w:ascii="Arial" w:hAnsi="Arial" w:cs="Arial"/>
          <w:sz w:val="20"/>
          <w:szCs w:val="20"/>
          <w:u w:val="single"/>
        </w:rPr>
      </w:pPr>
      <w:r w:rsidRPr="006E42DA">
        <w:rPr>
          <w:rFonts w:ascii="Arial" w:hAnsi="Arial" w:cs="Arial"/>
          <w:sz w:val="20"/>
          <w:szCs w:val="20"/>
          <w:u w:val="single"/>
        </w:rPr>
        <w:t>Per l’abitazione principale e fabbricati assimilati all’abitazione principale</w:t>
      </w:r>
    </w:p>
    <w:p w:rsidR="00B1254A" w:rsidRPr="006E42DA" w:rsidRDefault="00B1254A" w:rsidP="00B1254A">
      <w:pPr>
        <w:jc w:val="both"/>
        <w:rPr>
          <w:rFonts w:ascii="Arial" w:hAnsi="Arial" w:cs="Arial"/>
          <w:sz w:val="20"/>
          <w:szCs w:val="20"/>
        </w:rPr>
      </w:pPr>
      <w:r w:rsidRPr="006E42DA">
        <w:rPr>
          <w:rFonts w:ascii="Arial" w:hAnsi="Arial" w:cs="Arial"/>
          <w:sz w:val="20"/>
          <w:szCs w:val="20"/>
        </w:rPr>
        <w:t xml:space="preserve">Questa tipologia di fabbricato gode di un regime agevolato mediante il riconoscimento di una detrazione d’imposta pari ad euro </w:t>
      </w:r>
      <w:r w:rsidR="00780141" w:rsidRPr="006E42DA">
        <w:rPr>
          <w:rFonts w:ascii="Arial" w:hAnsi="Arial" w:cs="Arial"/>
          <w:sz w:val="20"/>
          <w:szCs w:val="20"/>
        </w:rPr>
        <w:t>261,41.</w:t>
      </w:r>
      <w:r w:rsidRPr="006E42DA">
        <w:rPr>
          <w:rFonts w:ascii="Arial" w:hAnsi="Arial" w:cs="Arial"/>
          <w:sz w:val="20"/>
          <w:szCs w:val="20"/>
        </w:rPr>
        <w:t xml:space="preserve"> L’aliquota per le abitazioni principali e relative pertinenze (al massimo due pertinenze in categoria catastale C/2, C/6, C/7) a valere per il 2015 è pari al 0,</w:t>
      </w:r>
      <w:r w:rsidR="00780141" w:rsidRPr="006E42DA">
        <w:rPr>
          <w:rFonts w:ascii="Arial" w:hAnsi="Arial" w:cs="Arial"/>
          <w:sz w:val="20"/>
          <w:szCs w:val="20"/>
        </w:rPr>
        <w:t>0</w:t>
      </w:r>
      <w:r w:rsidRPr="006E42DA">
        <w:rPr>
          <w:rFonts w:ascii="Arial" w:hAnsi="Arial" w:cs="Arial"/>
          <w:sz w:val="20"/>
          <w:szCs w:val="20"/>
        </w:rPr>
        <w:t xml:space="preserve">%. </w:t>
      </w:r>
    </w:p>
    <w:p w:rsidR="00780141" w:rsidRPr="00BE5220" w:rsidRDefault="00780141" w:rsidP="00B1254A">
      <w:pPr>
        <w:jc w:val="both"/>
        <w:rPr>
          <w:rFonts w:ascii="Arial" w:hAnsi="Arial" w:cs="Arial"/>
          <w:sz w:val="22"/>
          <w:szCs w:val="22"/>
        </w:rPr>
      </w:pPr>
    </w:p>
    <w:p w:rsidR="00B1254A" w:rsidRPr="00BE5220" w:rsidRDefault="00B1254A" w:rsidP="00B1254A">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sz w:val="22"/>
          <w:szCs w:val="22"/>
        </w:rPr>
      </w:pPr>
      <w:r w:rsidRPr="00BE5220">
        <w:rPr>
          <w:rFonts w:ascii="Arial" w:hAnsi="Arial" w:cs="Arial"/>
          <w:sz w:val="22"/>
          <w:szCs w:val="22"/>
        </w:rPr>
        <w:t>Per abitazione principale si intende il fabbricato nel quale il possessore e il suo nucleo familiare dimorano abitualmente e risiedono anagraficamente. Nel caso in cui i componenti del nucleo familiare abbiano stabilito la residenza anagrafica in immobili diversi, le modalità di applicazione dell’imposta per questa fattispecie e per le relative pertinenze si applicano ad un solo immobile; per residenze anagrafiche fissate in immobili diversi situati nel territorio provinciale, si intende per abitazione principale quella in cui, se presenti, pongono la residenza i componenti minorenni del nucleo familiare.</w:t>
      </w:r>
    </w:p>
    <w:p w:rsidR="00B1254A" w:rsidRPr="00BE5220" w:rsidRDefault="00B1254A" w:rsidP="00B1254A">
      <w:pPr>
        <w:jc w:val="both"/>
        <w:rPr>
          <w:rFonts w:ascii="Arial" w:hAnsi="Arial" w:cs="Arial"/>
          <w:sz w:val="22"/>
          <w:szCs w:val="22"/>
        </w:rPr>
      </w:pPr>
    </w:p>
    <w:p w:rsidR="00B1254A" w:rsidRPr="006E42DA" w:rsidRDefault="00B1254A" w:rsidP="00B1254A">
      <w:pPr>
        <w:jc w:val="both"/>
        <w:rPr>
          <w:rFonts w:ascii="Arial" w:hAnsi="Arial" w:cs="Arial"/>
          <w:sz w:val="20"/>
          <w:szCs w:val="20"/>
        </w:rPr>
      </w:pPr>
      <w:r w:rsidRPr="006E42DA">
        <w:rPr>
          <w:rFonts w:ascii="Arial" w:hAnsi="Arial" w:cs="Arial"/>
          <w:sz w:val="20"/>
          <w:szCs w:val="20"/>
        </w:rPr>
        <w:t>Si ricordano di seguito i principali casi di assimilazione:</w:t>
      </w:r>
    </w:p>
    <w:p w:rsidR="00B1254A" w:rsidRPr="006E42DA" w:rsidRDefault="00B1254A" w:rsidP="00780141">
      <w:pPr>
        <w:numPr>
          <w:ilvl w:val="0"/>
          <w:numId w:val="1"/>
        </w:numPr>
        <w:tabs>
          <w:tab w:val="clear" w:pos="1800"/>
          <w:tab w:val="num" w:pos="851"/>
        </w:tabs>
        <w:autoSpaceDE w:val="0"/>
        <w:autoSpaceDN w:val="0"/>
        <w:adjustRightInd w:val="0"/>
        <w:ind w:left="851" w:hanging="567"/>
        <w:jc w:val="both"/>
        <w:rPr>
          <w:rFonts w:ascii="Arial" w:hAnsi="Arial" w:cs="Arial"/>
          <w:sz w:val="20"/>
          <w:szCs w:val="20"/>
        </w:rPr>
      </w:pPr>
      <w:r w:rsidRPr="006E42DA">
        <w:rPr>
          <w:rFonts w:ascii="Arial" w:hAnsi="Arial" w:cs="Arial"/>
          <w:sz w:val="20"/>
          <w:szCs w:val="20"/>
        </w:rPr>
        <w:t xml:space="preserve">unità immobiliari possedute dalle cooperative edilizie a proprietà indivisa adibite ad abitazione principale; </w:t>
      </w:r>
    </w:p>
    <w:p w:rsidR="00B1254A" w:rsidRPr="006E42DA" w:rsidRDefault="00B1254A" w:rsidP="00780141">
      <w:pPr>
        <w:numPr>
          <w:ilvl w:val="0"/>
          <w:numId w:val="1"/>
        </w:numPr>
        <w:tabs>
          <w:tab w:val="clear" w:pos="1800"/>
          <w:tab w:val="num" w:pos="851"/>
        </w:tabs>
        <w:autoSpaceDE w:val="0"/>
        <w:autoSpaceDN w:val="0"/>
        <w:adjustRightInd w:val="0"/>
        <w:ind w:left="851" w:hanging="567"/>
        <w:jc w:val="both"/>
        <w:rPr>
          <w:rFonts w:ascii="Arial" w:hAnsi="Arial" w:cs="Arial"/>
          <w:sz w:val="20"/>
          <w:szCs w:val="20"/>
        </w:rPr>
      </w:pPr>
      <w:r w:rsidRPr="006E42DA">
        <w:rPr>
          <w:rFonts w:ascii="Arial" w:hAnsi="Arial" w:cs="Arial"/>
          <w:sz w:val="20"/>
          <w:szCs w:val="20"/>
        </w:rPr>
        <w:t>casa coniugale assegnata al coniuge, a seguito di provvedimento di separazione legale, annullamento, scioglimento o cessazione degli effetti civili del matrimonio;</w:t>
      </w:r>
    </w:p>
    <w:p w:rsidR="00B1254A" w:rsidRPr="006E42DA" w:rsidRDefault="00B1254A" w:rsidP="00780141">
      <w:pPr>
        <w:numPr>
          <w:ilvl w:val="0"/>
          <w:numId w:val="1"/>
        </w:numPr>
        <w:tabs>
          <w:tab w:val="clear" w:pos="1800"/>
          <w:tab w:val="num" w:pos="851"/>
        </w:tabs>
        <w:autoSpaceDE w:val="0"/>
        <w:autoSpaceDN w:val="0"/>
        <w:adjustRightInd w:val="0"/>
        <w:ind w:left="851" w:hanging="567"/>
        <w:jc w:val="both"/>
        <w:rPr>
          <w:rFonts w:ascii="Arial" w:hAnsi="Arial" w:cs="Arial"/>
          <w:sz w:val="20"/>
          <w:szCs w:val="20"/>
        </w:rPr>
      </w:pPr>
      <w:r w:rsidRPr="006E42DA">
        <w:rPr>
          <w:rFonts w:ascii="Arial" w:hAnsi="Arial" w:cs="Arial"/>
          <w:sz w:val="20"/>
          <w:szCs w:val="20"/>
        </w:rPr>
        <w:lastRenderedPageBreak/>
        <w:t>fabbricato abitativo assegnato al genitore cui un provvedimento giudiziale ha riconosciuto l’affidamento dei figli, nel quale tale genitore fissi la dimora abituale e la residenza anagrafica;</w:t>
      </w:r>
    </w:p>
    <w:p w:rsidR="00B1254A" w:rsidRPr="006E42DA" w:rsidRDefault="00B1254A" w:rsidP="00780141">
      <w:pPr>
        <w:numPr>
          <w:ilvl w:val="0"/>
          <w:numId w:val="1"/>
        </w:numPr>
        <w:tabs>
          <w:tab w:val="clear" w:pos="1800"/>
          <w:tab w:val="num" w:pos="851"/>
        </w:tabs>
        <w:autoSpaceDE w:val="0"/>
        <w:autoSpaceDN w:val="0"/>
        <w:adjustRightInd w:val="0"/>
        <w:ind w:left="851" w:hanging="567"/>
        <w:jc w:val="both"/>
        <w:rPr>
          <w:rFonts w:ascii="Arial" w:hAnsi="Arial" w:cs="Arial"/>
          <w:color w:val="0000FF"/>
          <w:sz w:val="20"/>
          <w:szCs w:val="20"/>
        </w:rPr>
      </w:pPr>
      <w:r w:rsidRPr="006E42DA">
        <w:rPr>
          <w:rFonts w:ascii="Arial" w:hAnsi="Arial" w:cs="Arial"/>
          <w:sz w:val="20"/>
          <w:szCs w:val="20"/>
        </w:rPr>
        <w:t xml:space="preserve">unità immobiliare posseduta a titolo di proprietà o di usufrutto da anziani o disabili che acquisiscono la residenza in istituti di ricovero o sanitari a seguito di ricovero permanente, a condizione che la stessa non risulti locata; </w:t>
      </w:r>
    </w:p>
    <w:p w:rsidR="00B1254A" w:rsidRPr="006E42DA" w:rsidRDefault="00B1254A" w:rsidP="00780141">
      <w:pPr>
        <w:numPr>
          <w:ilvl w:val="0"/>
          <w:numId w:val="1"/>
        </w:numPr>
        <w:tabs>
          <w:tab w:val="clear" w:pos="1800"/>
          <w:tab w:val="num" w:pos="851"/>
        </w:tabs>
        <w:autoSpaceDE w:val="0"/>
        <w:autoSpaceDN w:val="0"/>
        <w:adjustRightInd w:val="0"/>
        <w:ind w:left="851" w:hanging="567"/>
        <w:jc w:val="both"/>
        <w:rPr>
          <w:rFonts w:ascii="Arial" w:hAnsi="Arial" w:cs="Arial"/>
          <w:color w:val="0000FF"/>
          <w:sz w:val="20"/>
          <w:szCs w:val="20"/>
        </w:rPr>
      </w:pPr>
      <w:r w:rsidRPr="006E42DA">
        <w:rPr>
          <w:rFonts w:ascii="Arial" w:hAnsi="Arial" w:cs="Arial"/>
          <w:sz w:val="20"/>
          <w:szCs w:val="20"/>
        </w:rPr>
        <w:t xml:space="preserve">unità immobiliare abitativa e le relative pertinenze concessa in comodato dal soggetto passivo ai parenti in linea retta entro il primo grado che la utilizzano come abitazione principale. In caso di più unità immobiliari, la predetta agevolazione può essere applicata ad una sola unità immobiliare; </w:t>
      </w:r>
    </w:p>
    <w:p w:rsidR="00B1254A" w:rsidRPr="006E42DA" w:rsidRDefault="00B1254A" w:rsidP="00780141">
      <w:pPr>
        <w:tabs>
          <w:tab w:val="num" w:pos="851"/>
        </w:tabs>
        <w:ind w:left="851"/>
        <w:jc w:val="both"/>
        <w:rPr>
          <w:rFonts w:ascii="Arial" w:hAnsi="Arial" w:cs="Arial"/>
          <w:color w:val="0000FF"/>
          <w:sz w:val="20"/>
          <w:szCs w:val="20"/>
          <w:u w:val="single"/>
        </w:rPr>
      </w:pPr>
    </w:p>
    <w:p w:rsidR="00B1254A" w:rsidRPr="006E42DA" w:rsidRDefault="00B1254A" w:rsidP="00B1254A">
      <w:pPr>
        <w:jc w:val="both"/>
        <w:rPr>
          <w:rFonts w:ascii="Arial" w:hAnsi="Arial" w:cs="Arial"/>
          <w:sz w:val="20"/>
          <w:szCs w:val="20"/>
          <w:u w:val="single"/>
        </w:rPr>
      </w:pPr>
      <w:r w:rsidRPr="006E42DA">
        <w:rPr>
          <w:rFonts w:ascii="Arial" w:hAnsi="Arial" w:cs="Arial"/>
          <w:sz w:val="20"/>
          <w:szCs w:val="20"/>
          <w:u w:val="single"/>
        </w:rPr>
        <w:t>Per le aree edificabili e situazioni assimilate</w:t>
      </w:r>
    </w:p>
    <w:p w:rsidR="00B1254A" w:rsidRPr="006E42DA" w:rsidRDefault="00B1254A" w:rsidP="00B1254A">
      <w:pPr>
        <w:jc w:val="both"/>
        <w:rPr>
          <w:rFonts w:ascii="Arial" w:hAnsi="Arial" w:cs="Arial"/>
          <w:sz w:val="20"/>
          <w:szCs w:val="20"/>
        </w:rPr>
      </w:pPr>
      <w:r w:rsidRPr="006E42DA">
        <w:rPr>
          <w:rFonts w:ascii="Arial" w:hAnsi="Arial" w:cs="Arial"/>
          <w:sz w:val="20"/>
          <w:szCs w:val="20"/>
        </w:rPr>
        <w:t xml:space="preserve">il calcolo dell’imposta corrisponde al </w:t>
      </w:r>
      <w:proofErr w:type="gramStart"/>
      <w:r w:rsidRPr="006E42DA">
        <w:rPr>
          <w:rFonts w:ascii="Arial" w:hAnsi="Arial" w:cs="Arial"/>
          <w:sz w:val="20"/>
          <w:szCs w:val="20"/>
        </w:rPr>
        <w:t xml:space="preserve">prodotto  </w:t>
      </w:r>
      <w:r w:rsidRPr="006E42DA">
        <w:rPr>
          <w:rFonts w:ascii="Arial" w:hAnsi="Arial" w:cs="Arial"/>
          <w:i/>
          <w:sz w:val="20"/>
          <w:szCs w:val="20"/>
        </w:rPr>
        <w:t>aliquota</w:t>
      </w:r>
      <w:proofErr w:type="gramEnd"/>
      <w:r w:rsidRPr="006E42DA">
        <w:rPr>
          <w:rFonts w:ascii="Arial" w:hAnsi="Arial" w:cs="Arial"/>
          <w:i/>
          <w:sz w:val="20"/>
          <w:szCs w:val="20"/>
        </w:rPr>
        <w:t xml:space="preserve"> X valore dell’area edificabile.</w:t>
      </w:r>
      <w:r w:rsidRPr="006E42DA">
        <w:rPr>
          <w:rFonts w:ascii="Arial" w:hAnsi="Arial" w:cs="Arial"/>
          <w:sz w:val="20"/>
          <w:szCs w:val="20"/>
        </w:rPr>
        <w:t xml:space="preserve"> L’aliquota è scelta dal comune. Il valore dell’area edificabile corrisponde al prodotto tra </w:t>
      </w:r>
      <w:r w:rsidRPr="006E42DA">
        <w:rPr>
          <w:rFonts w:ascii="Arial" w:hAnsi="Arial" w:cs="Arial"/>
          <w:i/>
          <w:sz w:val="20"/>
          <w:szCs w:val="20"/>
        </w:rPr>
        <w:t>valore in commercio a metro quadro X metri quadri dell’area</w:t>
      </w:r>
      <w:r w:rsidRPr="006E42DA">
        <w:rPr>
          <w:rFonts w:ascii="Arial" w:hAnsi="Arial" w:cs="Arial"/>
          <w:sz w:val="20"/>
          <w:szCs w:val="20"/>
        </w:rPr>
        <w:t xml:space="preserve">. Il comune ha individuato i valori di riferimento per metro quadro delle aree edificabili suddividendo in zone omogenee il territorio comunale. Sulla base di questi valori è stato predisposto il modello allegato. Si riportano nella seguente tabella i valori per metro quadro relativi alle diverse zone territoriali. Per maggiori approfondimenti si rinvia alla delibera pubblicata nel sito del comune all’indirizzo </w:t>
      </w:r>
      <w:r w:rsidR="00BE5220" w:rsidRPr="006E42DA">
        <w:rPr>
          <w:rFonts w:ascii="Arial" w:hAnsi="Arial" w:cs="Arial"/>
          <w:sz w:val="20"/>
          <w:szCs w:val="20"/>
        </w:rPr>
        <w:t>www.comune.castello-tesino.tn.it</w:t>
      </w:r>
      <w:r w:rsidRPr="006E42DA">
        <w:rPr>
          <w:rFonts w:ascii="Arial" w:hAnsi="Arial" w:cs="Arial"/>
          <w:sz w:val="20"/>
          <w:szCs w:val="20"/>
        </w:rPr>
        <w:t xml:space="preserve"> e si suggerisce, vista la complessità della materia, di contattare l’ufficio tributi.</w:t>
      </w:r>
    </w:p>
    <w:p w:rsidR="00B1254A" w:rsidRPr="00BE5220" w:rsidRDefault="00B1254A" w:rsidP="00B1254A">
      <w:pPr>
        <w:jc w:val="both"/>
        <w:rPr>
          <w:rFonts w:ascii="Arial" w:hAnsi="Arial" w:cs="Arial"/>
          <w:b/>
          <w:sz w:val="22"/>
          <w:szCs w:val="22"/>
        </w:rPr>
      </w:pPr>
    </w:p>
    <w:p w:rsidR="00B1254A" w:rsidRPr="00D461CF" w:rsidRDefault="00B1254A" w:rsidP="00B1254A">
      <w:pPr>
        <w:jc w:val="both"/>
        <w:rPr>
          <w:rFonts w:ascii="Arial" w:hAnsi="Arial" w:cs="Arial"/>
          <w:b/>
          <w:color w:val="2E74B5" w:themeColor="accent1" w:themeShade="BF"/>
          <w:sz w:val="22"/>
          <w:szCs w:val="22"/>
        </w:rPr>
      </w:pPr>
      <w:r w:rsidRPr="00D461CF">
        <w:rPr>
          <w:rFonts w:ascii="Arial" w:hAnsi="Arial" w:cs="Arial"/>
          <w:b/>
          <w:color w:val="2E74B5" w:themeColor="accent1" w:themeShade="BF"/>
          <w:sz w:val="22"/>
          <w:szCs w:val="22"/>
        </w:rPr>
        <w:t>Tabella valori aree edificabili a valere per il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1843"/>
      </w:tblGrid>
      <w:tr w:rsidR="006E42DA" w:rsidRPr="00BE5220" w:rsidTr="006E42DA">
        <w:tc>
          <w:tcPr>
            <w:tcW w:w="7508" w:type="dxa"/>
            <w:shd w:val="clear" w:color="auto" w:fill="auto"/>
            <w:vAlign w:val="center"/>
          </w:tcPr>
          <w:p w:rsidR="006E42DA" w:rsidRPr="006E42DA" w:rsidRDefault="006E42DA" w:rsidP="006E42DA">
            <w:pPr>
              <w:jc w:val="center"/>
              <w:rPr>
                <w:rFonts w:ascii="Arial" w:hAnsi="Arial" w:cs="Arial"/>
                <w:b/>
                <w:bCs/>
                <w:sz w:val="20"/>
                <w:szCs w:val="20"/>
              </w:rPr>
            </w:pPr>
            <w:r w:rsidRPr="006E42DA">
              <w:rPr>
                <w:rFonts w:ascii="Arial" w:hAnsi="Arial" w:cs="Arial"/>
                <w:b/>
                <w:bCs/>
                <w:sz w:val="20"/>
                <w:szCs w:val="20"/>
              </w:rPr>
              <w:t>DESTINAZIONE URBANISTICA</w:t>
            </w:r>
          </w:p>
        </w:tc>
        <w:tc>
          <w:tcPr>
            <w:tcW w:w="1843" w:type="dxa"/>
            <w:shd w:val="clear" w:color="auto" w:fill="auto"/>
            <w:vAlign w:val="center"/>
          </w:tcPr>
          <w:p w:rsidR="006E42DA" w:rsidRPr="006E42DA" w:rsidRDefault="006E42DA" w:rsidP="006E42DA">
            <w:pPr>
              <w:jc w:val="center"/>
              <w:rPr>
                <w:rFonts w:ascii="Arial" w:hAnsi="Arial" w:cs="Arial"/>
                <w:bCs/>
                <w:sz w:val="20"/>
                <w:szCs w:val="20"/>
              </w:rPr>
            </w:pPr>
            <w:r w:rsidRPr="006E42DA">
              <w:rPr>
                <w:rFonts w:ascii="Arial" w:hAnsi="Arial" w:cs="Arial"/>
                <w:bCs/>
                <w:sz w:val="20"/>
                <w:szCs w:val="20"/>
              </w:rPr>
              <w:t> </w:t>
            </w:r>
          </w:p>
        </w:tc>
      </w:tr>
      <w:tr w:rsidR="006E42DA" w:rsidRPr="00BE5220" w:rsidTr="006E42DA">
        <w:tc>
          <w:tcPr>
            <w:tcW w:w="7508" w:type="dxa"/>
            <w:shd w:val="clear" w:color="auto" w:fill="auto"/>
            <w:vAlign w:val="center"/>
          </w:tcPr>
          <w:p w:rsidR="006E42DA" w:rsidRPr="006E42DA" w:rsidRDefault="006E42DA" w:rsidP="006E42DA">
            <w:pPr>
              <w:rPr>
                <w:rFonts w:ascii="Arial" w:hAnsi="Arial" w:cs="Arial"/>
                <w:sz w:val="20"/>
                <w:szCs w:val="20"/>
              </w:rPr>
            </w:pPr>
            <w:proofErr w:type="gramStart"/>
            <w:r w:rsidRPr="006E42DA">
              <w:rPr>
                <w:rFonts w:ascii="Arial" w:hAnsi="Arial" w:cs="Arial"/>
                <w:sz w:val="20"/>
                <w:szCs w:val="20"/>
              </w:rPr>
              <w:t>RESIDENZIALE  -</w:t>
            </w:r>
            <w:proofErr w:type="gramEnd"/>
            <w:r w:rsidRPr="006E42DA">
              <w:rPr>
                <w:rFonts w:ascii="Arial" w:hAnsi="Arial" w:cs="Arial"/>
                <w:sz w:val="20"/>
                <w:szCs w:val="20"/>
              </w:rPr>
              <w:t xml:space="preserve"> COMPLETAMENTO E NUOVO IMPIANTO</w:t>
            </w:r>
          </w:p>
        </w:tc>
        <w:tc>
          <w:tcPr>
            <w:tcW w:w="1843" w:type="dxa"/>
            <w:shd w:val="clear" w:color="auto" w:fill="auto"/>
            <w:vAlign w:val="center"/>
          </w:tcPr>
          <w:p w:rsidR="006E42DA" w:rsidRPr="006E42DA" w:rsidRDefault="006E42DA" w:rsidP="006E42DA">
            <w:pPr>
              <w:jc w:val="right"/>
              <w:rPr>
                <w:rFonts w:ascii="Arial" w:hAnsi="Arial" w:cs="Arial"/>
                <w:bCs/>
                <w:sz w:val="20"/>
                <w:szCs w:val="20"/>
              </w:rPr>
            </w:pPr>
            <w:r w:rsidRPr="006E42DA">
              <w:rPr>
                <w:rFonts w:ascii="Arial" w:hAnsi="Arial" w:cs="Arial"/>
                <w:bCs/>
                <w:sz w:val="20"/>
                <w:szCs w:val="20"/>
              </w:rPr>
              <w:t>€ 65,00</w:t>
            </w:r>
          </w:p>
        </w:tc>
      </w:tr>
      <w:tr w:rsidR="006E42DA" w:rsidRPr="00BE5220" w:rsidTr="006E42DA">
        <w:tc>
          <w:tcPr>
            <w:tcW w:w="7508" w:type="dxa"/>
            <w:shd w:val="clear" w:color="auto" w:fill="auto"/>
            <w:vAlign w:val="center"/>
          </w:tcPr>
          <w:p w:rsidR="006E42DA" w:rsidRPr="006E42DA" w:rsidRDefault="006E42DA" w:rsidP="006E42DA">
            <w:pPr>
              <w:rPr>
                <w:rFonts w:ascii="Arial" w:hAnsi="Arial" w:cs="Arial"/>
                <w:sz w:val="20"/>
                <w:szCs w:val="20"/>
              </w:rPr>
            </w:pPr>
            <w:r w:rsidRPr="006E42DA">
              <w:rPr>
                <w:rFonts w:ascii="Arial" w:hAnsi="Arial" w:cs="Arial"/>
                <w:sz w:val="20"/>
                <w:szCs w:val="20"/>
              </w:rPr>
              <w:t>FABBRICATI IN RISTRUTTURAZIONE</w:t>
            </w:r>
          </w:p>
        </w:tc>
        <w:tc>
          <w:tcPr>
            <w:tcW w:w="1843" w:type="dxa"/>
            <w:shd w:val="clear" w:color="auto" w:fill="auto"/>
            <w:vAlign w:val="center"/>
          </w:tcPr>
          <w:p w:rsidR="006E42DA" w:rsidRPr="006E42DA" w:rsidRDefault="006E42DA" w:rsidP="006E42DA">
            <w:pPr>
              <w:jc w:val="right"/>
              <w:rPr>
                <w:rFonts w:ascii="Arial" w:hAnsi="Arial" w:cs="Arial"/>
                <w:bCs/>
                <w:sz w:val="20"/>
                <w:szCs w:val="20"/>
              </w:rPr>
            </w:pPr>
            <w:r w:rsidRPr="006E42DA">
              <w:rPr>
                <w:rFonts w:ascii="Arial" w:hAnsi="Arial" w:cs="Arial"/>
                <w:bCs/>
                <w:sz w:val="20"/>
                <w:szCs w:val="20"/>
              </w:rPr>
              <w:t>€ 65,00</w:t>
            </w:r>
          </w:p>
        </w:tc>
      </w:tr>
      <w:tr w:rsidR="006E42DA" w:rsidRPr="00BE5220" w:rsidTr="006E42DA">
        <w:tc>
          <w:tcPr>
            <w:tcW w:w="7508" w:type="dxa"/>
            <w:shd w:val="clear" w:color="auto" w:fill="auto"/>
            <w:vAlign w:val="center"/>
          </w:tcPr>
          <w:p w:rsidR="006E42DA" w:rsidRPr="006E42DA" w:rsidRDefault="006E42DA" w:rsidP="006E42DA">
            <w:pPr>
              <w:rPr>
                <w:rFonts w:ascii="Arial" w:hAnsi="Arial" w:cs="Arial"/>
                <w:sz w:val="20"/>
                <w:szCs w:val="20"/>
              </w:rPr>
            </w:pPr>
            <w:r w:rsidRPr="006E42DA">
              <w:rPr>
                <w:rFonts w:ascii="Arial" w:hAnsi="Arial" w:cs="Arial"/>
                <w:sz w:val="20"/>
                <w:szCs w:val="20"/>
              </w:rPr>
              <w:t>AREE FABBRICATI F3/F4</w:t>
            </w:r>
          </w:p>
        </w:tc>
        <w:tc>
          <w:tcPr>
            <w:tcW w:w="1843" w:type="dxa"/>
            <w:shd w:val="clear" w:color="auto" w:fill="auto"/>
            <w:vAlign w:val="center"/>
          </w:tcPr>
          <w:p w:rsidR="006E42DA" w:rsidRPr="006E42DA" w:rsidRDefault="006E42DA" w:rsidP="006E42DA">
            <w:pPr>
              <w:jc w:val="right"/>
              <w:rPr>
                <w:rFonts w:ascii="Arial" w:hAnsi="Arial" w:cs="Arial"/>
                <w:bCs/>
                <w:sz w:val="20"/>
                <w:szCs w:val="20"/>
              </w:rPr>
            </w:pPr>
            <w:r w:rsidRPr="006E42DA">
              <w:rPr>
                <w:rFonts w:ascii="Arial" w:hAnsi="Arial" w:cs="Arial"/>
                <w:bCs/>
                <w:sz w:val="20"/>
                <w:szCs w:val="20"/>
              </w:rPr>
              <w:t>€ 65,00</w:t>
            </w:r>
          </w:p>
        </w:tc>
      </w:tr>
      <w:tr w:rsidR="006E42DA" w:rsidRPr="00BE5220" w:rsidTr="006E42DA">
        <w:tc>
          <w:tcPr>
            <w:tcW w:w="7508" w:type="dxa"/>
            <w:shd w:val="clear" w:color="auto" w:fill="auto"/>
            <w:vAlign w:val="center"/>
          </w:tcPr>
          <w:p w:rsidR="006E42DA" w:rsidRPr="006E42DA" w:rsidRDefault="006E42DA" w:rsidP="006E42DA">
            <w:pPr>
              <w:rPr>
                <w:rFonts w:ascii="Arial" w:hAnsi="Arial" w:cs="Arial"/>
                <w:sz w:val="20"/>
                <w:szCs w:val="20"/>
              </w:rPr>
            </w:pPr>
            <w:r w:rsidRPr="006E42DA">
              <w:rPr>
                <w:rFonts w:ascii="Arial" w:hAnsi="Arial" w:cs="Arial"/>
                <w:sz w:val="20"/>
                <w:szCs w:val="20"/>
              </w:rPr>
              <w:t>AREE ALBERGHIERE</w:t>
            </w:r>
          </w:p>
        </w:tc>
        <w:tc>
          <w:tcPr>
            <w:tcW w:w="1843" w:type="dxa"/>
            <w:shd w:val="clear" w:color="auto" w:fill="auto"/>
            <w:vAlign w:val="center"/>
          </w:tcPr>
          <w:p w:rsidR="006E42DA" w:rsidRPr="006E42DA" w:rsidRDefault="006E42DA" w:rsidP="006E42DA">
            <w:pPr>
              <w:jc w:val="right"/>
              <w:rPr>
                <w:rFonts w:ascii="Arial" w:hAnsi="Arial" w:cs="Arial"/>
                <w:bCs/>
                <w:sz w:val="20"/>
                <w:szCs w:val="20"/>
              </w:rPr>
            </w:pPr>
            <w:r w:rsidRPr="006E42DA">
              <w:rPr>
                <w:rFonts w:ascii="Arial" w:hAnsi="Arial" w:cs="Arial"/>
                <w:bCs/>
                <w:sz w:val="20"/>
                <w:szCs w:val="20"/>
              </w:rPr>
              <w:t>€ 60,00</w:t>
            </w:r>
          </w:p>
        </w:tc>
      </w:tr>
      <w:tr w:rsidR="006E42DA" w:rsidRPr="00BE5220" w:rsidTr="006E42DA">
        <w:tc>
          <w:tcPr>
            <w:tcW w:w="7508" w:type="dxa"/>
            <w:shd w:val="clear" w:color="auto" w:fill="auto"/>
            <w:vAlign w:val="center"/>
          </w:tcPr>
          <w:p w:rsidR="006E42DA" w:rsidRPr="006E42DA" w:rsidRDefault="006E42DA" w:rsidP="006E42DA">
            <w:pPr>
              <w:rPr>
                <w:rFonts w:ascii="Arial" w:hAnsi="Arial" w:cs="Arial"/>
                <w:sz w:val="20"/>
                <w:szCs w:val="20"/>
              </w:rPr>
            </w:pPr>
            <w:r w:rsidRPr="006E42DA">
              <w:rPr>
                <w:rFonts w:ascii="Arial" w:hAnsi="Arial" w:cs="Arial"/>
                <w:sz w:val="20"/>
                <w:szCs w:val="20"/>
              </w:rPr>
              <w:t xml:space="preserve">PRODUTTIVA DEL SETTORE SECONDARIO </w:t>
            </w:r>
          </w:p>
        </w:tc>
        <w:tc>
          <w:tcPr>
            <w:tcW w:w="1843" w:type="dxa"/>
            <w:shd w:val="clear" w:color="auto" w:fill="auto"/>
            <w:vAlign w:val="center"/>
          </w:tcPr>
          <w:p w:rsidR="006E42DA" w:rsidRPr="006E42DA" w:rsidRDefault="006E42DA" w:rsidP="006E42DA">
            <w:pPr>
              <w:jc w:val="right"/>
              <w:rPr>
                <w:rFonts w:ascii="Arial" w:hAnsi="Arial" w:cs="Arial"/>
                <w:bCs/>
                <w:sz w:val="20"/>
                <w:szCs w:val="20"/>
              </w:rPr>
            </w:pPr>
            <w:r w:rsidRPr="006E42DA">
              <w:rPr>
                <w:rFonts w:ascii="Arial" w:hAnsi="Arial" w:cs="Arial"/>
                <w:bCs/>
                <w:sz w:val="20"/>
                <w:szCs w:val="20"/>
              </w:rPr>
              <w:t>€ 40,00</w:t>
            </w:r>
          </w:p>
        </w:tc>
      </w:tr>
      <w:tr w:rsidR="006E42DA" w:rsidRPr="00BE5220" w:rsidTr="006E42DA">
        <w:tc>
          <w:tcPr>
            <w:tcW w:w="7508" w:type="dxa"/>
            <w:shd w:val="clear" w:color="auto" w:fill="auto"/>
            <w:vAlign w:val="center"/>
          </w:tcPr>
          <w:p w:rsidR="006E42DA" w:rsidRPr="006E42DA" w:rsidRDefault="006E42DA" w:rsidP="006E42DA">
            <w:pPr>
              <w:rPr>
                <w:rFonts w:ascii="Arial" w:hAnsi="Arial" w:cs="Arial"/>
                <w:sz w:val="20"/>
                <w:szCs w:val="20"/>
              </w:rPr>
            </w:pPr>
            <w:r w:rsidRPr="006E42DA">
              <w:rPr>
                <w:rFonts w:ascii="Arial" w:hAnsi="Arial" w:cs="Arial"/>
                <w:sz w:val="20"/>
                <w:szCs w:val="20"/>
              </w:rPr>
              <w:t xml:space="preserve">AREA CAMPEGGIO </w:t>
            </w:r>
          </w:p>
        </w:tc>
        <w:tc>
          <w:tcPr>
            <w:tcW w:w="1843" w:type="dxa"/>
            <w:shd w:val="clear" w:color="auto" w:fill="auto"/>
            <w:vAlign w:val="center"/>
          </w:tcPr>
          <w:p w:rsidR="006E42DA" w:rsidRPr="006E42DA" w:rsidRDefault="006E42DA" w:rsidP="006E42DA">
            <w:pPr>
              <w:jc w:val="right"/>
              <w:rPr>
                <w:rFonts w:ascii="Arial" w:hAnsi="Arial" w:cs="Arial"/>
                <w:bCs/>
                <w:sz w:val="20"/>
                <w:szCs w:val="20"/>
              </w:rPr>
            </w:pPr>
            <w:r w:rsidRPr="006E42DA">
              <w:rPr>
                <w:rFonts w:ascii="Arial" w:hAnsi="Arial" w:cs="Arial"/>
                <w:bCs/>
                <w:sz w:val="20"/>
                <w:szCs w:val="20"/>
              </w:rPr>
              <w:t>€ 45,00</w:t>
            </w:r>
          </w:p>
        </w:tc>
      </w:tr>
      <w:tr w:rsidR="006E42DA" w:rsidRPr="00BE5220" w:rsidTr="006E42DA">
        <w:tc>
          <w:tcPr>
            <w:tcW w:w="7508" w:type="dxa"/>
            <w:shd w:val="clear" w:color="auto" w:fill="auto"/>
            <w:vAlign w:val="center"/>
          </w:tcPr>
          <w:p w:rsidR="006E42DA" w:rsidRPr="006E42DA" w:rsidRDefault="006E42DA" w:rsidP="006E42DA">
            <w:pPr>
              <w:rPr>
                <w:rFonts w:ascii="Arial" w:hAnsi="Arial" w:cs="Arial"/>
                <w:sz w:val="20"/>
                <w:szCs w:val="20"/>
              </w:rPr>
            </w:pPr>
            <w:r w:rsidRPr="006E42DA">
              <w:rPr>
                <w:rFonts w:ascii="Arial" w:hAnsi="Arial" w:cs="Arial"/>
                <w:sz w:val="20"/>
                <w:szCs w:val="20"/>
              </w:rPr>
              <w:t>AREA SERVIZI PUBBLICI</w:t>
            </w:r>
          </w:p>
        </w:tc>
        <w:tc>
          <w:tcPr>
            <w:tcW w:w="1843" w:type="dxa"/>
            <w:shd w:val="clear" w:color="auto" w:fill="auto"/>
            <w:vAlign w:val="center"/>
          </w:tcPr>
          <w:p w:rsidR="006E42DA" w:rsidRPr="006E42DA" w:rsidRDefault="006E42DA" w:rsidP="006E42DA">
            <w:pPr>
              <w:jc w:val="right"/>
              <w:rPr>
                <w:rFonts w:ascii="Arial" w:hAnsi="Arial" w:cs="Arial"/>
                <w:bCs/>
                <w:sz w:val="20"/>
                <w:szCs w:val="20"/>
              </w:rPr>
            </w:pPr>
            <w:r w:rsidRPr="006E42DA">
              <w:rPr>
                <w:rFonts w:ascii="Arial" w:hAnsi="Arial" w:cs="Arial"/>
                <w:bCs/>
                <w:sz w:val="20"/>
                <w:szCs w:val="20"/>
              </w:rPr>
              <w:t>€ 45,00</w:t>
            </w:r>
          </w:p>
        </w:tc>
      </w:tr>
      <w:tr w:rsidR="006E42DA" w:rsidRPr="00BE5220" w:rsidTr="006E42DA">
        <w:tc>
          <w:tcPr>
            <w:tcW w:w="7508" w:type="dxa"/>
            <w:shd w:val="clear" w:color="auto" w:fill="auto"/>
            <w:vAlign w:val="center"/>
          </w:tcPr>
          <w:p w:rsidR="006E42DA" w:rsidRPr="006E42DA" w:rsidRDefault="006E42DA" w:rsidP="006E42DA">
            <w:pPr>
              <w:rPr>
                <w:rFonts w:ascii="Arial" w:hAnsi="Arial" w:cs="Arial"/>
                <w:sz w:val="20"/>
                <w:szCs w:val="20"/>
              </w:rPr>
            </w:pPr>
            <w:r w:rsidRPr="006E42DA">
              <w:rPr>
                <w:rFonts w:ascii="Arial" w:hAnsi="Arial" w:cs="Arial"/>
                <w:sz w:val="20"/>
                <w:szCs w:val="20"/>
              </w:rPr>
              <w:t>AREA MISTA</w:t>
            </w:r>
          </w:p>
        </w:tc>
        <w:tc>
          <w:tcPr>
            <w:tcW w:w="1843" w:type="dxa"/>
            <w:shd w:val="clear" w:color="auto" w:fill="auto"/>
            <w:vAlign w:val="center"/>
          </w:tcPr>
          <w:p w:rsidR="006E42DA" w:rsidRPr="006E42DA" w:rsidRDefault="006E42DA" w:rsidP="006E42DA">
            <w:pPr>
              <w:jc w:val="right"/>
              <w:rPr>
                <w:rFonts w:ascii="Arial" w:hAnsi="Arial" w:cs="Arial"/>
                <w:bCs/>
                <w:sz w:val="20"/>
                <w:szCs w:val="20"/>
              </w:rPr>
            </w:pPr>
            <w:r w:rsidRPr="006E42DA">
              <w:rPr>
                <w:rFonts w:ascii="Arial" w:hAnsi="Arial" w:cs="Arial"/>
                <w:bCs/>
                <w:sz w:val="20"/>
                <w:szCs w:val="20"/>
              </w:rPr>
              <w:t>€ 60,00</w:t>
            </w:r>
          </w:p>
        </w:tc>
      </w:tr>
      <w:tr w:rsidR="006E42DA" w:rsidRPr="00BE5220" w:rsidTr="006E42DA">
        <w:tc>
          <w:tcPr>
            <w:tcW w:w="7508" w:type="dxa"/>
            <w:shd w:val="clear" w:color="auto" w:fill="auto"/>
            <w:vAlign w:val="center"/>
          </w:tcPr>
          <w:p w:rsidR="006E42DA" w:rsidRPr="006E42DA" w:rsidRDefault="006E42DA" w:rsidP="006E42DA">
            <w:pPr>
              <w:rPr>
                <w:rFonts w:ascii="Arial" w:hAnsi="Arial" w:cs="Arial"/>
                <w:sz w:val="20"/>
                <w:szCs w:val="20"/>
              </w:rPr>
            </w:pPr>
            <w:r w:rsidRPr="006E42DA">
              <w:rPr>
                <w:rFonts w:ascii="Arial" w:hAnsi="Arial" w:cs="Arial"/>
                <w:sz w:val="20"/>
                <w:szCs w:val="20"/>
              </w:rPr>
              <w:t>AREA EXTRALBERGHIERA</w:t>
            </w:r>
          </w:p>
        </w:tc>
        <w:tc>
          <w:tcPr>
            <w:tcW w:w="1843" w:type="dxa"/>
            <w:shd w:val="clear" w:color="auto" w:fill="auto"/>
            <w:vAlign w:val="center"/>
          </w:tcPr>
          <w:p w:rsidR="006E42DA" w:rsidRPr="006E42DA" w:rsidRDefault="006E42DA" w:rsidP="006E42DA">
            <w:pPr>
              <w:jc w:val="right"/>
              <w:rPr>
                <w:rFonts w:ascii="Arial" w:hAnsi="Arial" w:cs="Arial"/>
                <w:bCs/>
                <w:sz w:val="20"/>
                <w:szCs w:val="20"/>
              </w:rPr>
            </w:pPr>
            <w:r w:rsidRPr="006E42DA">
              <w:rPr>
                <w:rFonts w:ascii="Arial" w:hAnsi="Arial" w:cs="Arial"/>
                <w:bCs/>
                <w:sz w:val="20"/>
                <w:szCs w:val="20"/>
              </w:rPr>
              <w:t>€ 50,00</w:t>
            </w:r>
          </w:p>
        </w:tc>
      </w:tr>
    </w:tbl>
    <w:p w:rsidR="00B1254A" w:rsidRPr="00BE5220" w:rsidRDefault="00B1254A" w:rsidP="00B1254A">
      <w:pPr>
        <w:jc w:val="both"/>
        <w:rPr>
          <w:rFonts w:ascii="Arial" w:hAnsi="Arial" w:cs="Arial"/>
          <w:i/>
          <w:sz w:val="22"/>
          <w:szCs w:val="22"/>
        </w:rPr>
      </w:pPr>
    </w:p>
    <w:p w:rsidR="00B1254A" w:rsidRPr="00D461CF" w:rsidRDefault="00B1254A" w:rsidP="00B1254A">
      <w:pPr>
        <w:jc w:val="both"/>
        <w:rPr>
          <w:rFonts w:ascii="Arial" w:hAnsi="Arial" w:cs="Arial"/>
          <w:b/>
          <w:color w:val="2E74B5" w:themeColor="accent1" w:themeShade="BF"/>
          <w:sz w:val="22"/>
          <w:szCs w:val="22"/>
        </w:rPr>
      </w:pPr>
      <w:r w:rsidRPr="00D461CF">
        <w:rPr>
          <w:rFonts w:ascii="Arial" w:hAnsi="Arial" w:cs="Arial"/>
          <w:b/>
          <w:color w:val="2E74B5" w:themeColor="accent1" w:themeShade="BF"/>
          <w:sz w:val="22"/>
          <w:szCs w:val="22"/>
        </w:rPr>
        <w:t>Tabella coefficienti di riduzione valore che casi particolari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gridCol w:w="1701"/>
      </w:tblGrid>
      <w:tr w:rsidR="006E42DA" w:rsidRPr="00BE5220" w:rsidTr="00D461CF">
        <w:tc>
          <w:tcPr>
            <w:tcW w:w="8784" w:type="dxa"/>
            <w:shd w:val="clear" w:color="auto" w:fill="auto"/>
            <w:vAlign w:val="center"/>
          </w:tcPr>
          <w:p w:rsidR="006E42DA" w:rsidRPr="006E42DA" w:rsidRDefault="006E42DA" w:rsidP="006E42DA">
            <w:pPr>
              <w:jc w:val="center"/>
              <w:rPr>
                <w:rFonts w:ascii="Arial" w:hAnsi="Arial" w:cs="Arial"/>
                <w:b/>
                <w:bCs/>
                <w:sz w:val="20"/>
                <w:szCs w:val="20"/>
              </w:rPr>
            </w:pPr>
            <w:r w:rsidRPr="006E42DA">
              <w:rPr>
                <w:rFonts w:ascii="Arial" w:hAnsi="Arial" w:cs="Arial"/>
                <w:b/>
                <w:bCs/>
                <w:sz w:val="20"/>
                <w:szCs w:val="20"/>
              </w:rPr>
              <w:t>DESCRIZIONE</w:t>
            </w:r>
          </w:p>
        </w:tc>
        <w:tc>
          <w:tcPr>
            <w:tcW w:w="1701" w:type="dxa"/>
            <w:shd w:val="clear" w:color="auto" w:fill="auto"/>
            <w:vAlign w:val="center"/>
          </w:tcPr>
          <w:p w:rsidR="006E42DA" w:rsidRPr="006E42DA" w:rsidRDefault="006E42DA" w:rsidP="006E42DA">
            <w:pPr>
              <w:rPr>
                <w:rFonts w:ascii="Arial" w:hAnsi="Arial" w:cs="Arial"/>
                <w:b/>
                <w:bCs/>
                <w:sz w:val="20"/>
                <w:szCs w:val="20"/>
              </w:rPr>
            </w:pPr>
            <w:r w:rsidRPr="006E42DA">
              <w:rPr>
                <w:rFonts w:ascii="Arial" w:hAnsi="Arial" w:cs="Arial"/>
                <w:b/>
                <w:bCs/>
                <w:sz w:val="20"/>
                <w:szCs w:val="20"/>
              </w:rPr>
              <w:t>% RIDUZIONE</w:t>
            </w:r>
          </w:p>
        </w:tc>
      </w:tr>
      <w:tr w:rsidR="006E42DA" w:rsidRPr="00BE5220" w:rsidTr="00D461CF">
        <w:tc>
          <w:tcPr>
            <w:tcW w:w="8784" w:type="dxa"/>
            <w:shd w:val="clear" w:color="auto" w:fill="auto"/>
            <w:vAlign w:val="bottom"/>
          </w:tcPr>
          <w:p w:rsidR="006E42DA" w:rsidRPr="006E42DA" w:rsidRDefault="006E42DA" w:rsidP="006E42DA">
            <w:pPr>
              <w:rPr>
                <w:rFonts w:ascii="Arial" w:hAnsi="Arial" w:cs="Arial"/>
                <w:sz w:val="20"/>
                <w:szCs w:val="20"/>
              </w:rPr>
            </w:pPr>
            <w:r w:rsidRPr="006E42DA">
              <w:rPr>
                <w:rFonts w:ascii="Arial" w:hAnsi="Arial" w:cs="Arial"/>
                <w:sz w:val="20"/>
                <w:szCs w:val="20"/>
              </w:rPr>
              <w:t>Presenza di linee elettriche aeree o interrate,</w:t>
            </w:r>
            <w:r w:rsidR="00D461CF">
              <w:rPr>
                <w:rFonts w:ascii="Arial" w:hAnsi="Arial" w:cs="Arial"/>
                <w:sz w:val="20"/>
                <w:szCs w:val="20"/>
              </w:rPr>
              <w:t xml:space="preserve"> </w:t>
            </w:r>
            <w:r w:rsidRPr="006E42DA">
              <w:rPr>
                <w:rFonts w:ascii="Arial" w:hAnsi="Arial" w:cs="Arial"/>
                <w:sz w:val="20"/>
                <w:szCs w:val="20"/>
              </w:rPr>
              <w:t>metanodotti o altra infrastruttura di servizi pubblici</w:t>
            </w:r>
          </w:p>
        </w:tc>
        <w:tc>
          <w:tcPr>
            <w:tcW w:w="1701" w:type="dxa"/>
            <w:shd w:val="clear" w:color="auto" w:fill="auto"/>
            <w:vAlign w:val="bottom"/>
          </w:tcPr>
          <w:p w:rsidR="006E42DA" w:rsidRPr="006E42DA" w:rsidRDefault="006E42DA" w:rsidP="006E42DA">
            <w:pPr>
              <w:jc w:val="right"/>
              <w:rPr>
                <w:rFonts w:ascii="Arial" w:hAnsi="Arial" w:cs="Arial"/>
                <w:sz w:val="20"/>
                <w:szCs w:val="20"/>
              </w:rPr>
            </w:pPr>
            <w:r w:rsidRPr="006E42DA">
              <w:rPr>
                <w:rFonts w:ascii="Arial" w:hAnsi="Arial" w:cs="Arial"/>
                <w:sz w:val="20"/>
                <w:szCs w:val="20"/>
              </w:rPr>
              <w:t>10%</w:t>
            </w:r>
          </w:p>
        </w:tc>
      </w:tr>
      <w:tr w:rsidR="006E42DA" w:rsidRPr="00BE5220" w:rsidTr="00D461CF">
        <w:tc>
          <w:tcPr>
            <w:tcW w:w="8784" w:type="dxa"/>
            <w:shd w:val="clear" w:color="auto" w:fill="auto"/>
            <w:vAlign w:val="bottom"/>
          </w:tcPr>
          <w:p w:rsidR="006E42DA" w:rsidRPr="006E42DA" w:rsidRDefault="006E42DA" w:rsidP="006E42DA">
            <w:pPr>
              <w:rPr>
                <w:rFonts w:ascii="Arial" w:hAnsi="Arial" w:cs="Arial"/>
                <w:sz w:val="20"/>
                <w:szCs w:val="20"/>
              </w:rPr>
            </w:pPr>
            <w:r w:rsidRPr="006E42DA">
              <w:rPr>
                <w:rFonts w:ascii="Arial" w:hAnsi="Arial" w:cs="Arial"/>
                <w:sz w:val="20"/>
                <w:szCs w:val="20"/>
              </w:rPr>
              <w:t>Carenza di strumenti urbanistici di attuazione (di competenza sia pubblica che privata)</w:t>
            </w:r>
          </w:p>
        </w:tc>
        <w:tc>
          <w:tcPr>
            <w:tcW w:w="1701" w:type="dxa"/>
            <w:shd w:val="clear" w:color="auto" w:fill="auto"/>
            <w:vAlign w:val="bottom"/>
          </w:tcPr>
          <w:p w:rsidR="006E42DA" w:rsidRPr="006E42DA" w:rsidRDefault="006E42DA" w:rsidP="006E42DA">
            <w:pPr>
              <w:jc w:val="right"/>
              <w:rPr>
                <w:rFonts w:ascii="Arial" w:hAnsi="Arial" w:cs="Arial"/>
                <w:sz w:val="20"/>
                <w:szCs w:val="20"/>
              </w:rPr>
            </w:pPr>
            <w:r w:rsidRPr="006E42DA">
              <w:rPr>
                <w:rFonts w:ascii="Arial" w:hAnsi="Arial" w:cs="Arial"/>
                <w:sz w:val="20"/>
                <w:szCs w:val="20"/>
              </w:rPr>
              <w:t>20%</w:t>
            </w:r>
          </w:p>
        </w:tc>
      </w:tr>
      <w:tr w:rsidR="006E42DA" w:rsidRPr="00BE5220" w:rsidTr="00D461CF">
        <w:tc>
          <w:tcPr>
            <w:tcW w:w="8784" w:type="dxa"/>
            <w:shd w:val="clear" w:color="auto" w:fill="auto"/>
            <w:vAlign w:val="bottom"/>
          </w:tcPr>
          <w:p w:rsidR="006E42DA" w:rsidRPr="006E42DA" w:rsidRDefault="006E42DA" w:rsidP="006E42DA">
            <w:pPr>
              <w:rPr>
                <w:rFonts w:ascii="Arial" w:hAnsi="Arial" w:cs="Arial"/>
                <w:sz w:val="20"/>
                <w:szCs w:val="20"/>
              </w:rPr>
            </w:pPr>
            <w:r w:rsidRPr="006E42DA">
              <w:rPr>
                <w:rFonts w:ascii="Arial" w:hAnsi="Arial" w:cs="Arial"/>
                <w:sz w:val="20"/>
                <w:szCs w:val="20"/>
              </w:rPr>
              <w:t>Necessità lavori adattamento del suolo o particolare conformazione dell'area o fasce di rispetto su lotti limitrofi (edifici)</w:t>
            </w:r>
          </w:p>
        </w:tc>
        <w:tc>
          <w:tcPr>
            <w:tcW w:w="1701" w:type="dxa"/>
            <w:shd w:val="clear" w:color="auto" w:fill="auto"/>
            <w:vAlign w:val="bottom"/>
          </w:tcPr>
          <w:p w:rsidR="006E42DA" w:rsidRPr="006E42DA" w:rsidRDefault="006E42DA" w:rsidP="006E42DA">
            <w:pPr>
              <w:jc w:val="right"/>
              <w:rPr>
                <w:rFonts w:ascii="Arial" w:hAnsi="Arial" w:cs="Arial"/>
                <w:sz w:val="20"/>
                <w:szCs w:val="20"/>
              </w:rPr>
            </w:pPr>
            <w:r w:rsidRPr="006E42DA">
              <w:rPr>
                <w:rFonts w:ascii="Arial" w:hAnsi="Arial" w:cs="Arial"/>
                <w:sz w:val="20"/>
                <w:szCs w:val="20"/>
              </w:rPr>
              <w:t>10%</w:t>
            </w:r>
          </w:p>
        </w:tc>
      </w:tr>
      <w:tr w:rsidR="006E42DA" w:rsidRPr="00BE5220" w:rsidTr="00D461CF">
        <w:tc>
          <w:tcPr>
            <w:tcW w:w="8784" w:type="dxa"/>
            <w:shd w:val="clear" w:color="auto" w:fill="auto"/>
            <w:vAlign w:val="bottom"/>
          </w:tcPr>
          <w:p w:rsidR="006E42DA" w:rsidRPr="006E42DA" w:rsidRDefault="006E42DA" w:rsidP="006E42DA">
            <w:pPr>
              <w:rPr>
                <w:rFonts w:ascii="Arial" w:hAnsi="Arial" w:cs="Arial"/>
                <w:sz w:val="20"/>
                <w:szCs w:val="20"/>
              </w:rPr>
            </w:pPr>
            <w:r w:rsidRPr="006E42DA">
              <w:rPr>
                <w:rFonts w:ascii="Arial" w:hAnsi="Arial" w:cs="Arial"/>
                <w:sz w:val="20"/>
                <w:szCs w:val="20"/>
              </w:rPr>
              <w:t>Residuo volumetrico utilizzabile inferiore a mc 200</w:t>
            </w:r>
          </w:p>
        </w:tc>
        <w:tc>
          <w:tcPr>
            <w:tcW w:w="1701" w:type="dxa"/>
            <w:shd w:val="clear" w:color="auto" w:fill="auto"/>
            <w:vAlign w:val="bottom"/>
          </w:tcPr>
          <w:p w:rsidR="006E42DA" w:rsidRPr="006E42DA" w:rsidRDefault="006E42DA" w:rsidP="006E42DA">
            <w:pPr>
              <w:jc w:val="right"/>
              <w:rPr>
                <w:rFonts w:ascii="Arial" w:hAnsi="Arial" w:cs="Arial"/>
                <w:sz w:val="20"/>
                <w:szCs w:val="20"/>
              </w:rPr>
            </w:pPr>
            <w:r w:rsidRPr="006E42DA">
              <w:rPr>
                <w:rFonts w:ascii="Arial" w:hAnsi="Arial" w:cs="Arial"/>
                <w:sz w:val="20"/>
                <w:szCs w:val="20"/>
              </w:rPr>
              <w:t>30%</w:t>
            </w:r>
          </w:p>
        </w:tc>
      </w:tr>
      <w:tr w:rsidR="006E42DA" w:rsidRPr="00BE5220" w:rsidTr="00D461CF">
        <w:tc>
          <w:tcPr>
            <w:tcW w:w="8784" w:type="dxa"/>
            <w:shd w:val="clear" w:color="auto" w:fill="auto"/>
            <w:vAlign w:val="bottom"/>
          </w:tcPr>
          <w:p w:rsidR="006E42DA" w:rsidRPr="006E42DA" w:rsidRDefault="006E42DA" w:rsidP="006E42DA">
            <w:pPr>
              <w:rPr>
                <w:rFonts w:ascii="Arial" w:hAnsi="Arial" w:cs="Arial"/>
                <w:sz w:val="20"/>
                <w:szCs w:val="20"/>
              </w:rPr>
            </w:pPr>
            <w:r w:rsidRPr="006E42DA">
              <w:rPr>
                <w:rFonts w:ascii="Arial" w:hAnsi="Arial" w:cs="Arial"/>
                <w:sz w:val="20"/>
                <w:szCs w:val="20"/>
              </w:rPr>
              <w:t xml:space="preserve">Aree (anche composte di più </w:t>
            </w:r>
            <w:proofErr w:type="spellStart"/>
            <w:r w:rsidRPr="006E42DA">
              <w:rPr>
                <w:rFonts w:ascii="Arial" w:hAnsi="Arial" w:cs="Arial"/>
                <w:sz w:val="20"/>
                <w:szCs w:val="20"/>
              </w:rPr>
              <w:t>pp.ff</w:t>
            </w:r>
            <w:proofErr w:type="spellEnd"/>
            <w:r w:rsidRPr="006E42DA">
              <w:rPr>
                <w:rFonts w:ascii="Arial" w:hAnsi="Arial" w:cs="Arial"/>
                <w:sz w:val="20"/>
                <w:szCs w:val="20"/>
              </w:rPr>
              <w:t>. dello stesso proprietario) non autonomamente edificabili</w:t>
            </w:r>
          </w:p>
        </w:tc>
        <w:tc>
          <w:tcPr>
            <w:tcW w:w="1701" w:type="dxa"/>
            <w:shd w:val="clear" w:color="auto" w:fill="auto"/>
            <w:vAlign w:val="bottom"/>
          </w:tcPr>
          <w:p w:rsidR="006E42DA" w:rsidRPr="006E42DA" w:rsidRDefault="006E42DA" w:rsidP="006E42DA">
            <w:pPr>
              <w:jc w:val="right"/>
              <w:rPr>
                <w:rFonts w:ascii="Arial" w:hAnsi="Arial" w:cs="Arial"/>
                <w:sz w:val="20"/>
                <w:szCs w:val="20"/>
              </w:rPr>
            </w:pPr>
            <w:r w:rsidRPr="006E42DA">
              <w:rPr>
                <w:rFonts w:ascii="Arial" w:hAnsi="Arial" w:cs="Arial"/>
                <w:sz w:val="20"/>
                <w:szCs w:val="20"/>
              </w:rPr>
              <w:t>30%</w:t>
            </w:r>
          </w:p>
        </w:tc>
      </w:tr>
    </w:tbl>
    <w:p w:rsidR="00B1254A" w:rsidRPr="00BE5220" w:rsidRDefault="00B1254A" w:rsidP="00B1254A">
      <w:pPr>
        <w:autoSpaceDE w:val="0"/>
        <w:autoSpaceDN w:val="0"/>
        <w:adjustRightInd w:val="0"/>
        <w:jc w:val="both"/>
        <w:rPr>
          <w:rFonts w:ascii="Arial" w:hAnsi="Arial" w:cs="Arial"/>
          <w:sz w:val="22"/>
          <w:szCs w:val="22"/>
        </w:rPr>
      </w:pPr>
    </w:p>
    <w:p w:rsidR="00B1254A" w:rsidRPr="00BE5220" w:rsidRDefault="00B1254A" w:rsidP="00B1254A">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sz w:val="22"/>
          <w:szCs w:val="22"/>
        </w:rPr>
      </w:pPr>
      <w:r w:rsidRPr="00BE5220">
        <w:rPr>
          <w:rFonts w:ascii="Arial" w:hAnsi="Arial" w:cs="Arial"/>
          <w:sz w:val="22"/>
          <w:szCs w:val="22"/>
        </w:rPr>
        <w:t>Per area edificabile si intende l'area utilizzabile a qualsiasi scopo edificatorio in base allo strumento urbanistico generale comunale. Per scopo edificatorio si intende la possibilità anche solo potenziale di realizzare fabbricati o ampliamenti di fabbricati. Un terreno si considera edificabile con l’adozione preliminare dello strumento urbanistico comunale.</w:t>
      </w:r>
    </w:p>
    <w:p w:rsidR="00B1254A" w:rsidRPr="00BE5220" w:rsidRDefault="00B1254A" w:rsidP="00B1254A">
      <w:pPr>
        <w:autoSpaceDE w:val="0"/>
        <w:autoSpaceDN w:val="0"/>
        <w:adjustRightInd w:val="0"/>
        <w:jc w:val="both"/>
        <w:rPr>
          <w:rFonts w:ascii="Arial" w:hAnsi="Arial" w:cs="Arial"/>
          <w:sz w:val="22"/>
          <w:szCs w:val="22"/>
        </w:rPr>
      </w:pPr>
    </w:p>
    <w:p w:rsidR="00B1254A" w:rsidRPr="006E42DA" w:rsidRDefault="00B1254A" w:rsidP="00B1254A">
      <w:pPr>
        <w:autoSpaceDE w:val="0"/>
        <w:autoSpaceDN w:val="0"/>
        <w:adjustRightInd w:val="0"/>
        <w:jc w:val="both"/>
        <w:rPr>
          <w:rFonts w:ascii="Arial" w:hAnsi="Arial" w:cs="Arial"/>
          <w:sz w:val="20"/>
          <w:szCs w:val="20"/>
        </w:rPr>
      </w:pPr>
      <w:r w:rsidRPr="006E42DA">
        <w:rPr>
          <w:rFonts w:ascii="Arial" w:hAnsi="Arial" w:cs="Arial"/>
          <w:sz w:val="20"/>
          <w:szCs w:val="20"/>
        </w:rPr>
        <w:t>Si considerano assimilati ad area edificabile:</w:t>
      </w:r>
    </w:p>
    <w:p w:rsidR="00B1254A" w:rsidRPr="006E42DA" w:rsidRDefault="00B1254A" w:rsidP="00E32D6C">
      <w:pPr>
        <w:tabs>
          <w:tab w:val="left" w:pos="709"/>
          <w:tab w:val="left" w:pos="2160"/>
        </w:tabs>
        <w:autoSpaceDE w:val="0"/>
        <w:autoSpaceDN w:val="0"/>
        <w:adjustRightInd w:val="0"/>
        <w:ind w:left="709" w:hanging="567"/>
        <w:jc w:val="both"/>
        <w:rPr>
          <w:rFonts w:ascii="Arial" w:hAnsi="Arial" w:cs="Arial"/>
          <w:sz w:val="20"/>
          <w:szCs w:val="20"/>
        </w:rPr>
      </w:pPr>
      <w:r w:rsidRPr="006E42DA">
        <w:rPr>
          <w:rFonts w:ascii="Arial" w:hAnsi="Arial" w:cs="Arial"/>
          <w:sz w:val="20"/>
          <w:szCs w:val="20"/>
        </w:rPr>
        <w:t>a)</w:t>
      </w:r>
      <w:r w:rsidRPr="006E42DA">
        <w:rPr>
          <w:rFonts w:ascii="Arial" w:hAnsi="Arial" w:cs="Arial"/>
          <w:sz w:val="20"/>
          <w:szCs w:val="20"/>
        </w:rPr>
        <w:tab/>
        <w:t>i fabbricati iscritti catastalmente nelle categorie F3 ed F4, nelle more dell’accatastamento definitivo;</w:t>
      </w:r>
    </w:p>
    <w:p w:rsidR="00B1254A" w:rsidRPr="006E42DA" w:rsidRDefault="00B1254A" w:rsidP="00E32D6C">
      <w:pPr>
        <w:tabs>
          <w:tab w:val="left" w:pos="709"/>
          <w:tab w:val="left" w:pos="2160"/>
        </w:tabs>
        <w:autoSpaceDE w:val="0"/>
        <w:autoSpaceDN w:val="0"/>
        <w:adjustRightInd w:val="0"/>
        <w:ind w:left="709" w:hanging="567"/>
        <w:jc w:val="both"/>
        <w:rPr>
          <w:rFonts w:ascii="Arial" w:hAnsi="Arial" w:cs="Arial"/>
          <w:sz w:val="20"/>
          <w:szCs w:val="20"/>
        </w:rPr>
      </w:pPr>
      <w:r w:rsidRPr="006E42DA">
        <w:rPr>
          <w:rFonts w:ascii="Arial" w:hAnsi="Arial" w:cs="Arial"/>
          <w:sz w:val="20"/>
          <w:szCs w:val="20"/>
        </w:rPr>
        <w:t>b)</w:t>
      </w:r>
      <w:r w:rsidRPr="006E42DA">
        <w:rPr>
          <w:rFonts w:ascii="Arial" w:hAnsi="Arial" w:cs="Arial"/>
          <w:sz w:val="20"/>
          <w:szCs w:val="20"/>
        </w:rPr>
        <w:tab/>
        <w:t>i fabbricati oggetto di demolizione o di interventi di recupero;</w:t>
      </w:r>
    </w:p>
    <w:p w:rsidR="00B1254A" w:rsidRPr="006E42DA" w:rsidRDefault="00B1254A" w:rsidP="00E32D6C">
      <w:pPr>
        <w:tabs>
          <w:tab w:val="left" w:pos="709"/>
          <w:tab w:val="left" w:pos="2160"/>
        </w:tabs>
        <w:autoSpaceDE w:val="0"/>
        <w:autoSpaceDN w:val="0"/>
        <w:adjustRightInd w:val="0"/>
        <w:ind w:left="709" w:hanging="567"/>
        <w:jc w:val="both"/>
        <w:rPr>
          <w:rFonts w:ascii="Arial" w:hAnsi="Arial" w:cs="Arial"/>
          <w:i/>
          <w:sz w:val="20"/>
          <w:szCs w:val="20"/>
        </w:rPr>
      </w:pPr>
      <w:r w:rsidRPr="006E42DA">
        <w:rPr>
          <w:rFonts w:ascii="Arial" w:hAnsi="Arial" w:cs="Arial"/>
          <w:sz w:val="20"/>
          <w:szCs w:val="20"/>
        </w:rPr>
        <w:t>c)</w:t>
      </w:r>
      <w:r w:rsidRPr="006E42DA">
        <w:rPr>
          <w:rFonts w:ascii="Arial" w:hAnsi="Arial" w:cs="Arial"/>
          <w:sz w:val="20"/>
          <w:szCs w:val="20"/>
        </w:rPr>
        <w:tab/>
        <w:t>le aree durante l’effettuazione dei lavori di edificazione, indipendentemente dalla tipologia dei fabbricati realizzati.</w:t>
      </w:r>
    </w:p>
    <w:p w:rsidR="00B1254A" w:rsidRPr="006E42DA" w:rsidRDefault="00B1254A" w:rsidP="00B1254A">
      <w:pPr>
        <w:jc w:val="both"/>
        <w:rPr>
          <w:rFonts w:ascii="Arial" w:hAnsi="Arial" w:cs="Arial"/>
          <w:i/>
          <w:sz w:val="20"/>
          <w:szCs w:val="20"/>
        </w:rPr>
      </w:pPr>
    </w:p>
    <w:p w:rsidR="00B1254A" w:rsidRPr="006E42DA" w:rsidRDefault="00B1254A" w:rsidP="00B1254A">
      <w:pPr>
        <w:jc w:val="both"/>
        <w:rPr>
          <w:rFonts w:ascii="Arial" w:hAnsi="Arial" w:cs="Arial"/>
          <w:sz w:val="20"/>
          <w:szCs w:val="20"/>
          <w:u w:val="single"/>
        </w:rPr>
      </w:pPr>
      <w:r w:rsidRPr="006E42DA">
        <w:rPr>
          <w:rFonts w:ascii="Arial" w:hAnsi="Arial" w:cs="Arial"/>
          <w:sz w:val="20"/>
          <w:szCs w:val="20"/>
          <w:u w:val="single"/>
        </w:rPr>
        <w:t>Per i fabbricati strumentali all’agricoltura</w:t>
      </w:r>
    </w:p>
    <w:p w:rsidR="00B1254A" w:rsidRPr="006E42DA" w:rsidRDefault="00B1254A" w:rsidP="00B1254A">
      <w:pPr>
        <w:jc w:val="both"/>
        <w:rPr>
          <w:rFonts w:ascii="Arial" w:hAnsi="Arial" w:cs="Arial"/>
          <w:sz w:val="20"/>
          <w:szCs w:val="20"/>
        </w:rPr>
      </w:pPr>
      <w:r w:rsidRPr="006E42DA">
        <w:rPr>
          <w:rFonts w:ascii="Arial" w:hAnsi="Arial" w:cs="Arial"/>
          <w:sz w:val="20"/>
          <w:szCs w:val="20"/>
        </w:rPr>
        <w:t xml:space="preserve">Questa tipologia di fabbricato gode di un regime agevolato mediante il riconoscimento di una deduzione dal valore catastale pari ad euro 1.000. </w:t>
      </w:r>
    </w:p>
    <w:p w:rsidR="00B1254A" w:rsidRPr="00BE5220" w:rsidRDefault="00B1254A" w:rsidP="00B1254A">
      <w:pPr>
        <w:jc w:val="both"/>
        <w:rPr>
          <w:rFonts w:ascii="Arial" w:hAnsi="Arial" w:cs="Arial"/>
          <w:sz w:val="22"/>
          <w:szCs w:val="22"/>
        </w:rPr>
      </w:pPr>
    </w:p>
    <w:p w:rsidR="00B1254A" w:rsidRPr="00BE5220" w:rsidRDefault="00B1254A" w:rsidP="00B1254A">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sz w:val="22"/>
          <w:szCs w:val="22"/>
        </w:rPr>
      </w:pPr>
      <w:r w:rsidRPr="00BE5220">
        <w:rPr>
          <w:rFonts w:ascii="Arial" w:hAnsi="Arial" w:cs="Arial"/>
          <w:sz w:val="22"/>
          <w:szCs w:val="22"/>
        </w:rPr>
        <w:t>Per fabbricato strumentale all’agricoltura si intende il fabbricato censito al catasto in categoria D10 ovvero per il quale sussiste l’annotazione catastale di ruralità.</w:t>
      </w:r>
    </w:p>
    <w:p w:rsidR="00B1254A" w:rsidRPr="00BE5220" w:rsidRDefault="00B1254A" w:rsidP="00B1254A">
      <w:pPr>
        <w:jc w:val="both"/>
        <w:rPr>
          <w:rFonts w:ascii="Arial" w:hAnsi="Arial" w:cs="Arial"/>
          <w:i/>
          <w:sz w:val="22"/>
          <w:szCs w:val="22"/>
        </w:rPr>
      </w:pPr>
    </w:p>
    <w:p w:rsidR="00B1254A" w:rsidRPr="00D461CF" w:rsidRDefault="00B1254A" w:rsidP="00B1254A">
      <w:pPr>
        <w:jc w:val="both"/>
        <w:rPr>
          <w:rFonts w:ascii="Arial" w:hAnsi="Arial" w:cs="Arial"/>
          <w:i/>
          <w:color w:val="2E74B5" w:themeColor="accent1" w:themeShade="BF"/>
          <w:sz w:val="20"/>
          <w:szCs w:val="20"/>
        </w:rPr>
      </w:pPr>
      <w:r w:rsidRPr="00D461CF">
        <w:rPr>
          <w:rFonts w:ascii="Arial" w:hAnsi="Arial" w:cs="Arial"/>
          <w:i/>
          <w:color w:val="2E74B5" w:themeColor="accent1" w:themeShade="BF"/>
          <w:sz w:val="20"/>
          <w:szCs w:val="20"/>
        </w:rPr>
        <w:t>Chi gode di riduzioni/agevolazioni?</w:t>
      </w:r>
    </w:p>
    <w:p w:rsidR="00B1254A" w:rsidRPr="006E42DA" w:rsidRDefault="00B1254A" w:rsidP="00B1254A">
      <w:pPr>
        <w:jc w:val="both"/>
        <w:rPr>
          <w:rFonts w:ascii="Arial" w:hAnsi="Arial" w:cs="Arial"/>
          <w:sz w:val="20"/>
          <w:szCs w:val="20"/>
        </w:rPr>
      </w:pPr>
      <w:r w:rsidRPr="006E42DA">
        <w:rPr>
          <w:rFonts w:ascii="Arial" w:hAnsi="Arial" w:cs="Arial"/>
          <w:sz w:val="20"/>
          <w:szCs w:val="20"/>
        </w:rPr>
        <w:t xml:space="preserve">Il proprietario o il titolare di altro diritto reale su fabbricati di interesse storico o artistico e su fabbricati riconosciuti come inagibili ed inabitabili gode di una riduzione della base imponibile (valore catastale) nella misura del 50% ma senza possibilità di cumulo tra le due fattispecie. </w:t>
      </w:r>
    </w:p>
    <w:p w:rsidR="00B1254A" w:rsidRPr="006E42DA" w:rsidRDefault="00B1254A" w:rsidP="00B1254A">
      <w:pPr>
        <w:jc w:val="both"/>
        <w:rPr>
          <w:rFonts w:ascii="Arial" w:hAnsi="Arial" w:cs="Arial"/>
          <w:sz w:val="20"/>
          <w:szCs w:val="20"/>
        </w:rPr>
      </w:pPr>
    </w:p>
    <w:p w:rsidR="00B1254A" w:rsidRPr="00D461CF" w:rsidRDefault="00B1254A" w:rsidP="00B1254A">
      <w:pPr>
        <w:jc w:val="both"/>
        <w:rPr>
          <w:rFonts w:ascii="Arial" w:hAnsi="Arial" w:cs="Arial"/>
          <w:i/>
          <w:color w:val="2E74B5" w:themeColor="accent1" w:themeShade="BF"/>
          <w:sz w:val="20"/>
          <w:szCs w:val="20"/>
        </w:rPr>
      </w:pPr>
      <w:r w:rsidRPr="00D461CF">
        <w:rPr>
          <w:rFonts w:ascii="Arial" w:hAnsi="Arial" w:cs="Arial"/>
          <w:i/>
          <w:color w:val="2E74B5" w:themeColor="accent1" w:themeShade="BF"/>
          <w:sz w:val="20"/>
          <w:szCs w:val="20"/>
        </w:rPr>
        <w:t>Cosa succede se non si è ricevuto il modello precompilato?</w:t>
      </w:r>
    </w:p>
    <w:p w:rsidR="00A92768" w:rsidRPr="006E42DA" w:rsidRDefault="00B1254A" w:rsidP="00E32D6C">
      <w:pPr>
        <w:jc w:val="both"/>
        <w:rPr>
          <w:rFonts w:ascii="Arial" w:hAnsi="Arial" w:cs="Arial"/>
          <w:sz w:val="20"/>
          <w:szCs w:val="20"/>
        </w:rPr>
      </w:pPr>
      <w:r w:rsidRPr="006E42DA">
        <w:rPr>
          <w:rFonts w:ascii="Arial" w:hAnsi="Arial" w:cs="Arial"/>
          <w:sz w:val="20"/>
          <w:szCs w:val="20"/>
        </w:rPr>
        <w:t xml:space="preserve">Il modello precompilato è uno strumento previsto al fine esclusivo di aiutare il cittadino nel pagamento dell’imposta. Il mancato ricevimento del modello precompilato non libera il cittadino dal pagamento. E’ opportuno che il cittadino segnali al comune il mancato ricevimento del modello precompilato al fine di individuare la causa del disservizio. </w:t>
      </w:r>
    </w:p>
    <w:sectPr w:rsidR="00A92768" w:rsidRPr="006E42DA" w:rsidSect="00D461CF">
      <w:pgSz w:w="11906" w:h="16838"/>
      <w:pgMar w:top="426"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461D4"/>
    <w:multiLevelType w:val="hybridMultilevel"/>
    <w:tmpl w:val="12DCF810"/>
    <w:lvl w:ilvl="0" w:tplc="E244CF4C">
      <w:start w:val="1"/>
      <w:numFmt w:val="decimal"/>
      <w:lvlText w:val="%1."/>
      <w:lvlJc w:val="left"/>
      <w:pPr>
        <w:tabs>
          <w:tab w:val="num" w:pos="1800"/>
        </w:tabs>
        <w:ind w:left="1800" w:hanging="360"/>
      </w:pPr>
      <w:rPr>
        <w:rFonts w:hint="default"/>
      </w:rPr>
    </w:lvl>
    <w:lvl w:ilvl="1" w:tplc="04100019" w:tentative="1">
      <w:start w:val="1"/>
      <w:numFmt w:val="lowerLetter"/>
      <w:lvlText w:val="%2."/>
      <w:lvlJc w:val="left"/>
      <w:pPr>
        <w:tabs>
          <w:tab w:val="num" w:pos="2520"/>
        </w:tabs>
        <w:ind w:left="2520" w:hanging="360"/>
      </w:pPr>
    </w:lvl>
    <w:lvl w:ilvl="2" w:tplc="0410001B" w:tentative="1">
      <w:start w:val="1"/>
      <w:numFmt w:val="lowerRoman"/>
      <w:lvlText w:val="%3."/>
      <w:lvlJc w:val="right"/>
      <w:pPr>
        <w:tabs>
          <w:tab w:val="num" w:pos="3240"/>
        </w:tabs>
        <w:ind w:left="3240" w:hanging="180"/>
      </w:pPr>
    </w:lvl>
    <w:lvl w:ilvl="3" w:tplc="0410000F" w:tentative="1">
      <w:start w:val="1"/>
      <w:numFmt w:val="decimal"/>
      <w:lvlText w:val="%4."/>
      <w:lvlJc w:val="left"/>
      <w:pPr>
        <w:tabs>
          <w:tab w:val="num" w:pos="3960"/>
        </w:tabs>
        <w:ind w:left="3960" w:hanging="360"/>
      </w:pPr>
    </w:lvl>
    <w:lvl w:ilvl="4" w:tplc="04100019" w:tentative="1">
      <w:start w:val="1"/>
      <w:numFmt w:val="lowerLetter"/>
      <w:lvlText w:val="%5."/>
      <w:lvlJc w:val="left"/>
      <w:pPr>
        <w:tabs>
          <w:tab w:val="num" w:pos="4680"/>
        </w:tabs>
        <w:ind w:left="4680" w:hanging="360"/>
      </w:pPr>
    </w:lvl>
    <w:lvl w:ilvl="5" w:tplc="0410001B" w:tentative="1">
      <w:start w:val="1"/>
      <w:numFmt w:val="lowerRoman"/>
      <w:lvlText w:val="%6."/>
      <w:lvlJc w:val="right"/>
      <w:pPr>
        <w:tabs>
          <w:tab w:val="num" w:pos="5400"/>
        </w:tabs>
        <w:ind w:left="5400" w:hanging="180"/>
      </w:pPr>
    </w:lvl>
    <w:lvl w:ilvl="6" w:tplc="0410000F" w:tentative="1">
      <w:start w:val="1"/>
      <w:numFmt w:val="decimal"/>
      <w:lvlText w:val="%7."/>
      <w:lvlJc w:val="left"/>
      <w:pPr>
        <w:tabs>
          <w:tab w:val="num" w:pos="6120"/>
        </w:tabs>
        <w:ind w:left="6120" w:hanging="360"/>
      </w:pPr>
    </w:lvl>
    <w:lvl w:ilvl="7" w:tplc="04100019" w:tentative="1">
      <w:start w:val="1"/>
      <w:numFmt w:val="lowerLetter"/>
      <w:lvlText w:val="%8."/>
      <w:lvlJc w:val="left"/>
      <w:pPr>
        <w:tabs>
          <w:tab w:val="num" w:pos="6840"/>
        </w:tabs>
        <w:ind w:left="6840" w:hanging="360"/>
      </w:pPr>
    </w:lvl>
    <w:lvl w:ilvl="8" w:tplc="0410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4A"/>
    <w:rsid w:val="00000D38"/>
    <w:rsid w:val="002D4248"/>
    <w:rsid w:val="00630548"/>
    <w:rsid w:val="006E42DA"/>
    <w:rsid w:val="00780141"/>
    <w:rsid w:val="00853392"/>
    <w:rsid w:val="00B1254A"/>
    <w:rsid w:val="00B52175"/>
    <w:rsid w:val="00BE5220"/>
    <w:rsid w:val="00BE6222"/>
    <w:rsid w:val="00D461CF"/>
    <w:rsid w:val="00E32D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3D13722-3B0A-4BE0-93A3-4246BF1E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B1254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E42D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42DA"/>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1321</Words>
  <Characters>7534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Moranduzzo</dc:creator>
  <cp:keywords/>
  <dc:description/>
  <cp:lastModifiedBy>Chiara Simonetti</cp:lastModifiedBy>
  <cp:revision>2</cp:revision>
  <cp:lastPrinted>2015-05-25T14:39:00Z</cp:lastPrinted>
  <dcterms:created xsi:type="dcterms:W3CDTF">2016-06-09T12:18:00Z</dcterms:created>
  <dcterms:modified xsi:type="dcterms:W3CDTF">2016-06-09T12:18:00Z</dcterms:modified>
</cp:coreProperties>
</file>